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58D49"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sidRPr="00D41D8F">
        <w:rPr>
          <w:rFonts w:ascii="Arial" w:eastAsia="Calibri" w:hAnsi="Arial" w:cs="Arial"/>
          <w:noProof/>
          <w:color w:val="000000"/>
          <w:kern w:val="0"/>
          <w:sz w:val="24"/>
          <w:szCs w:val="24"/>
          <w:lang w:eastAsia="en-GB"/>
          <w14:ligatures w14:val="none"/>
        </w:rPr>
        <w:drawing>
          <wp:anchor distT="0" distB="0" distL="114300" distR="114300" simplePos="0" relativeHeight="251659264" behindDoc="1" locked="0" layoutInCell="1" allowOverlap="1" wp14:anchorId="3B825FA1" wp14:editId="139B82F3">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A12A6"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p>
    <w:p w14:paraId="03FA17B7"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p>
    <w:p w14:paraId="2C6C7DCE"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p>
    <w:tbl>
      <w:tblPr>
        <w:tblW w:w="0" w:type="auto"/>
        <w:tblInd w:w="108" w:type="dxa"/>
        <w:tblLayout w:type="fixed"/>
        <w:tblLook w:val="04A0" w:firstRow="1" w:lastRow="0" w:firstColumn="1" w:lastColumn="0" w:noHBand="0" w:noVBand="1"/>
      </w:tblPr>
      <w:tblGrid>
        <w:gridCol w:w="2438"/>
        <w:gridCol w:w="6406"/>
      </w:tblGrid>
      <w:tr w:rsidR="00D41D8F" w:rsidRPr="00D41D8F" w14:paraId="575D3BBD" w14:textId="77777777" w:rsidTr="00740D73">
        <w:tc>
          <w:tcPr>
            <w:tcW w:w="2438" w:type="dxa"/>
            <w:shd w:val="clear" w:color="auto" w:fill="auto"/>
          </w:tcPr>
          <w:p w14:paraId="592315C3"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To:</w:t>
            </w:r>
          </w:p>
        </w:tc>
        <w:tc>
          <w:tcPr>
            <w:tcW w:w="6406" w:type="dxa"/>
            <w:shd w:val="clear" w:color="auto" w:fill="auto"/>
          </w:tcPr>
          <w:p w14:paraId="3206B015"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Climate and Environment Panel</w:t>
            </w:r>
          </w:p>
          <w:p w14:paraId="459DF217"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p>
        </w:tc>
      </w:tr>
      <w:tr w:rsidR="00D41D8F" w:rsidRPr="00D41D8F" w14:paraId="6DF9ECD2" w14:textId="77777777" w:rsidTr="00740D73">
        <w:tc>
          <w:tcPr>
            <w:tcW w:w="2438" w:type="dxa"/>
            <w:shd w:val="clear" w:color="auto" w:fill="auto"/>
          </w:tcPr>
          <w:p w14:paraId="2EC9A444"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Date:</w:t>
            </w:r>
          </w:p>
        </w:tc>
        <w:tc>
          <w:tcPr>
            <w:tcW w:w="6406" w:type="dxa"/>
            <w:shd w:val="clear" w:color="auto" w:fill="auto"/>
          </w:tcPr>
          <w:p w14:paraId="08AFA00B"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09 March 2023</w:t>
            </w:r>
          </w:p>
          <w:p w14:paraId="549B8995"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p>
        </w:tc>
      </w:tr>
      <w:tr w:rsidR="00D41D8F" w:rsidRPr="00D41D8F" w14:paraId="75A076E8" w14:textId="77777777" w:rsidTr="00740D73">
        <w:tc>
          <w:tcPr>
            <w:tcW w:w="2438" w:type="dxa"/>
            <w:shd w:val="clear" w:color="auto" w:fill="auto"/>
          </w:tcPr>
          <w:p w14:paraId="27FF305F"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Report of:</w:t>
            </w:r>
          </w:p>
        </w:tc>
        <w:tc>
          <w:tcPr>
            <w:tcW w:w="6406" w:type="dxa"/>
            <w:shd w:val="clear" w:color="auto" w:fill="auto"/>
          </w:tcPr>
          <w:p w14:paraId="03EF7E90"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Head of Corporate Strategy</w:t>
            </w:r>
          </w:p>
          <w:p w14:paraId="15D709D2"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p>
        </w:tc>
      </w:tr>
      <w:tr w:rsidR="00D41D8F" w:rsidRPr="00D41D8F" w14:paraId="2A66400F" w14:textId="77777777" w:rsidTr="00740D73">
        <w:tc>
          <w:tcPr>
            <w:tcW w:w="2438" w:type="dxa"/>
            <w:shd w:val="clear" w:color="auto" w:fill="auto"/>
          </w:tcPr>
          <w:p w14:paraId="27FE9646"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 xml:space="preserve">Title of Report: </w:t>
            </w:r>
          </w:p>
        </w:tc>
        <w:tc>
          <w:tcPr>
            <w:tcW w:w="6406" w:type="dxa"/>
            <w:shd w:val="clear" w:color="auto" w:fill="auto"/>
          </w:tcPr>
          <w:p w14:paraId="6CD7B5CC" w14:textId="6D69259F"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Pr>
                <w:rFonts w:ascii="Arial" w:eastAsia="Calibri" w:hAnsi="Arial" w:cs="Arial"/>
                <w:b/>
                <w:kern w:val="0"/>
                <w:sz w:val="24"/>
                <w:szCs w:val="24"/>
                <w14:ligatures w14:val="none"/>
              </w:rPr>
              <w:t>Fleet Decarbonisation</w:t>
            </w:r>
          </w:p>
        </w:tc>
      </w:tr>
    </w:tbl>
    <w:p w14:paraId="2FB4371F"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38"/>
        <w:gridCol w:w="6407"/>
      </w:tblGrid>
      <w:tr w:rsidR="00D41D8F" w:rsidRPr="00D41D8F" w14:paraId="1323ABD6" w14:textId="77777777" w:rsidTr="00740D73">
        <w:tc>
          <w:tcPr>
            <w:tcW w:w="8845" w:type="dxa"/>
            <w:gridSpan w:val="2"/>
            <w:tcBorders>
              <w:top w:val="single" w:sz="8" w:space="0" w:color="auto"/>
              <w:bottom w:val="single" w:sz="8" w:space="0" w:color="auto"/>
            </w:tcBorders>
            <w:hideMark/>
          </w:tcPr>
          <w:p w14:paraId="2FB37887" w14:textId="77777777" w:rsidR="00D41D8F" w:rsidRPr="00D41D8F" w:rsidRDefault="00D41D8F" w:rsidP="00D41D8F">
            <w:pPr>
              <w:spacing w:after="0" w:line="240" w:lineRule="auto"/>
              <w:jc w:val="center"/>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Summary and recommendations</w:t>
            </w:r>
          </w:p>
        </w:tc>
      </w:tr>
      <w:tr w:rsidR="00D41D8F" w:rsidRPr="00D41D8F" w14:paraId="7D09C92C" w14:textId="77777777" w:rsidTr="00740D73">
        <w:tc>
          <w:tcPr>
            <w:tcW w:w="2438" w:type="dxa"/>
            <w:tcBorders>
              <w:top w:val="single" w:sz="8" w:space="0" w:color="auto"/>
            </w:tcBorders>
            <w:hideMark/>
          </w:tcPr>
          <w:p w14:paraId="5A83ED95"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Purpose of report:</w:t>
            </w:r>
          </w:p>
        </w:tc>
        <w:tc>
          <w:tcPr>
            <w:tcW w:w="6407" w:type="dxa"/>
            <w:tcBorders>
              <w:top w:val="single" w:sz="8" w:space="0" w:color="auto"/>
            </w:tcBorders>
            <w:hideMark/>
          </w:tcPr>
          <w:p w14:paraId="123E59DA" w14:textId="5CA28067" w:rsidR="00D41D8F" w:rsidRPr="00D41D8F" w:rsidRDefault="00D41D8F" w:rsidP="00D41D8F">
            <w:pPr>
              <w:spacing w:after="0" w:line="240" w:lineRule="auto"/>
              <w:rPr>
                <w:rFonts w:ascii="Arial" w:eastAsia="Calibri" w:hAnsi="Arial" w:cs="Arial"/>
                <w:color w:val="000000"/>
                <w:kern w:val="0"/>
                <w:sz w:val="24"/>
                <w:szCs w:val="24"/>
                <w14:ligatures w14:val="none"/>
              </w:rPr>
            </w:pPr>
            <w:r w:rsidRPr="00D41D8F">
              <w:rPr>
                <w:rFonts w:ascii="Arial" w:eastAsia="Calibri" w:hAnsi="Arial" w:cs="Arial"/>
                <w:kern w:val="0"/>
                <w:sz w:val="24"/>
                <w:szCs w:val="24"/>
                <w14:ligatures w14:val="none"/>
              </w:rPr>
              <w:t xml:space="preserve">To update the Panel on the </w:t>
            </w:r>
            <w:r>
              <w:rPr>
                <w:rFonts w:ascii="Arial" w:eastAsia="Calibri" w:hAnsi="Arial" w:cs="Arial"/>
                <w:kern w:val="0"/>
                <w:sz w:val="24"/>
                <w:szCs w:val="24"/>
                <w14:ligatures w14:val="none"/>
              </w:rPr>
              <w:t>topic of fleet decarbonisation</w:t>
            </w:r>
            <w:r w:rsidRPr="00D41D8F">
              <w:rPr>
                <w:rFonts w:ascii="Arial" w:eastAsia="Calibri" w:hAnsi="Arial" w:cs="Arial"/>
                <w:color w:val="000000"/>
                <w:kern w:val="0"/>
                <w:sz w:val="24"/>
                <w:szCs w:val="24"/>
                <w14:ligatures w14:val="none"/>
              </w:rPr>
              <w:t>.</w:t>
            </w:r>
            <w:r w:rsidRPr="00D41D8F">
              <w:rPr>
                <w:rFonts w:ascii="Arial" w:eastAsia="Calibri" w:hAnsi="Arial" w:cs="Arial"/>
                <w:color w:val="000000"/>
                <w:kern w:val="0"/>
                <w:sz w:val="24"/>
                <w:szCs w:val="24"/>
                <w14:ligatures w14:val="none"/>
              </w:rPr>
              <w:br/>
            </w:r>
          </w:p>
        </w:tc>
      </w:tr>
      <w:tr w:rsidR="00D41D8F" w:rsidRPr="00D41D8F" w14:paraId="3510E81A" w14:textId="77777777" w:rsidTr="00740D73">
        <w:trPr>
          <w:trHeight w:val="375"/>
        </w:trPr>
        <w:tc>
          <w:tcPr>
            <w:tcW w:w="2438" w:type="dxa"/>
            <w:hideMark/>
          </w:tcPr>
          <w:p w14:paraId="7B779A09"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Key decision:</w:t>
            </w:r>
          </w:p>
        </w:tc>
        <w:tc>
          <w:tcPr>
            <w:tcW w:w="6407" w:type="dxa"/>
            <w:hideMark/>
          </w:tcPr>
          <w:p w14:paraId="365D519E" w14:textId="101E6A36"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No</w:t>
            </w:r>
          </w:p>
        </w:tc>
      </w:tr>
      <w:tr w:rsidR="00D41D8F" w:rsidRPr="00D41D8F" w14:paraId="324DE7F2" w14:textId="77777777" w:rsidTr="00740D73">
        <w:trPr>
          <w:trHeight w:val="678"/>
        </w:trPr>
        <w:tc>
          <w:tcPr>
            <w:tcW w:w="2438" w:type="dxa"/>
            <w:hideMark/>
          </w:tcPr>
          <w:p w14:paraId="64A4EEC8"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Cabinet Member:</w:t>
            </w:r>
          </w:p>
        </w:tc>
        <w:tc>
          <w:tcPr>
            <w:tcW w:w="6407" w:type="dxa"/>
            <w:hideMark/>
          </w:tcPr>
          <w:p w14:paraId="2669577C" w14:textId="77777777" w:rsidR="00D41D8F" w:rsidRPr="00D41D8F" w:rsidRDefault="00D41D8F" w:rsidP="00D41D8F">
            <w:pPr>
              <w:spacing w:after="0" w:line="240" w:lineRule="auto"/>
              <w:jc w:val="both"/>
              <w:rPr>
                <w:rFonts w:ascii="Arial" w:eastAsia="Calibri" w:hAnsi="Arial" w:cs="Arial"/>
                <w:kern w:val="0"/>
                <w:sz w:val="24"/>
                <w:szCs w:val="24"/>
                <w14:ligatures w14:val="none"/>
              </w:rPr>
            </w:pPr>
            <w:r w:rsidRPr="00D41D8F">
              <w:rPr>
                <w:rFonts w:ascii="Arial" w:eastAsia="Calibri" w:hAnsi="Arial" w:cs="Arial"/>
                <w:kern w:val="0"/>
                <w:sz w:val="24"/>
                <w:szCs w:val="24"/>
                <w14:ligatures w14:val="none"/>
              </w:rPr>
              <w:t>Councillor Anna Railton, Cabinet Member for Zero Carbon Oxford and Climate Justice</w:t>
            </w:r>
          </w:p>
        </w:tc>
      </w:tr>
      <w:tr w:rsidR="00D41D8F" w:rsidRPr="00D41D8F" w14:paraId="3D7BD92E" w14:textId="77777777" w:rsidTr="00740D73">
        <w:tc>
          <w:tcPr>
            <w:tcW w:w="2438" w:type="dxa"/>
          </w:tcPr>
          <w:p w14:paraId="71C7F5B8"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Corporate Priority:</w:t>
            </w:r>
          </w:p>
        </w:tc>
        <w:tc>
          <w:tcPr>
            <w:tcW w:w="6407" w:type="dxa"/>
          </w:tcPr>
          <w:p w14:paraId="1F2A86A3" w14:textId="77777777" w:rsidR="00D41D8F" w:rsidRPr="00D41D8F" w:rsidRDefault="00D41D8F" w:rsidP="00D41D8F">
            <w:pPr>
              <w:spacing w:after="0" w:line="240" w:lineRule="auto"/>
              <w:rPr>
                <w:rFonts w:ascii="Arial" w:eastAsia="Calibri" w:hAnsi="Arial" w:cs="Arial"/>
                <w:color w:val="000000"/>
                <w:kern w:val="0"/>
                <w:sz w:val="24"/>
                <w:szCs w:val="24"/>
                <w14:ligatures w14:val="none"/>
              </w:rPr>
            </w:pPr>
            <w:r w:rsidRPr="00D41D8F">
              <w:rPr>
                <w:rFonts w:ascii="Arial" w:eastAsia="Calibri" w:hAnsi="Arial" w:cs="Arial"/>
                <w:kern w:val="0"/>
                <w:sz w:val="24"/>
                <w:szCs w:val="24"/>
                <w14:ligatures w14:val="none"/>
              </w:rPr>
              <w:t>Pursue a zero carbon Oxford</w:t>
            </w:r>
            <w:r w:rsidRPr="00D41D8F">
              <w:rPr>
                <w:rFonts w:ascii="Arial" w:eastAsia="Calibri" w:hAnsi="Arial" w:cs="Arial"/>
                <w:kern w:val="0"/>
                <w:sz w:val="24"/>
                <w:szCs w:val="24"/>
                <w14:ligatures w14:val="none"/>
              </w:rPr>
              <w:br/>
            </w:r>
          </w:p>
        </w:tc>
      </w:tr>
      <w:tr w:rsidR="00D41D8F" w:rsidRPr="00D41D8F" w14:paraId="38B16972" w14:textId="77777777" w:rsidTr="00740D73">
        <w:tc>
          <w:tcPr>
            <w:tcW w:w="2438" w:type="dxa"/>
            <w:hideMark/>
          </w:tcPr>
          <w:p w14:paraId="53479BDE" w14:textId="77777777" w:rsidR="00D41D8F" w:rsidRPr="00D41D8F" w:rsidRDefault="00D41D8F" w:rsidP="00D41D8F">
            <w:pPr>
              <w:spacing w:after="0" w:line="240" w:lineRule="auto"/>
              <w:jc w:val="both"/>
              <w:rPr>
                <w:rFonts w:ascii="Arial" w:eastAsia="Calibri" w:hAnsi="Arial" w:cs="Arial"/>
                <w:b/>
                <w:color w:val="000000"/>
                <w:kern w:val="0"/>
                <w:sz w:val="24"/>
                <w:szCs w:val="24"/>
                <w14:ligatures w14:val="none"/>
              </w:rPr>
            </w:pPr>
            <w:r w:rsidRPr="00D41D8F">
              <w:rPr>
                <w:rFonts w:ascii="Arial" w:eastAsia="Calibri" w:hAnsi="Arial" w:cs="Arial"/>
                <w:b/>
                <w:color w:val="000000"/>
                <w:kern w:val="0"/>
                <w:sz w:val="24"/>
                <w:szCs w:val="24"/>
                <w14:ligatures w14:val="none"/>
              </w:rPr>
              <w:t>Policy Framework:</w:t>
            </w:r>
          </w:p>
        </w:tc>
        <w:tc>
          <w:tcPr>
            <w:tcW w:w="6407" w:type="dxa"/>
            <w:hideMark/>
          </w:tcPr>
          <w:p w14:paraId="7D336B89"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sidRPr="00D41D8F">
              <w:rPr>
                <w:rFonts w:ascii="Arial" w:eastAsia="Calibri" w:hAnsi="Arial" w:cs="Arial"/>
                <w:kern w:val="0"/>
                <w:sz w:val="24"/>
                <w:szCs w:val="24"/>
                <w14:ligatures w14:val="none"/>
              </w:rPr>
              <w:t>Council Strategy 2020-24</w:t>
            </w:r>
          </w:p>
        </w:tc>
      </w:tr>
    </w:tbl>
    <w:p w14:paraId="09270BDD" w14:textId="77777777" w:rsidR="00D41D8F" w:rsidRPr="00D41D8F" w:rsidRDefault="00D41D8F" w:rsidP="00D41D8F">
      <w:pPr>
        <w:spacing w:after="0" w:line="240" w:lineRule="auto"/>
        <w:rPr>
          <w:rFonts w:ascii="Arial" w:eastAsia="Calibri" w:hAnsi="Arial" w:cs="Arial"/>
          <w:kern w:val="0"/>
          <w:sz w:val="24"/>
          <w:szCs w:val="24"/>
          <w14:ligatures w14:val="none"/>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8428"/>
      </w:tblGrid>
      <w:tr w:rsidR="00D41D8F" w:rsidRPr="00D41D8F" w14:paraId="02281D29" w14:textId="77777777" w:rsidTr="00740D73">
        <w:trPr>
          <w:trHeight w:val="413"/>
        </w:trPr>
        <w:tc>
          <w:tcPr>
            <w:tcW w:w="8845" w:type="dxa"/>
            <w:gridSpan w:val="2"/>
            <w:tcBorders>
              <w:top w:val="single" w:sz="4" w:space="0" w:color="auto"/>
              <w:bottom w:val="single" w:sz="8" w:space="0" w:color="000000"/>
            </w:tcBorders>
          </w:tcPr>
          <w:p w14:paraId="39FEE1C5"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sidRPr="00D41D8F">
              <w:rPr>
                <w:rFonts w:ascii="Arial" w:eastAsia="Calibri" w:hAnsi="Arial" w:cs="Arial"/>
                <w:b/>
                <w:color w:val="000000"/>
                <w:kern w:val="0"/>
                <w:sz w:val="24"/>
                <w:szCs w:val="24"/>
                <w14:ligatures w14:val="none"/>
              </w:rPr>
              <w:t>Recommendation: That the Panel resolves to:</w:t>
            </w:r>
          </w:p>
        </w:tc>
      </w:tr>
      <w:tr w:rsidR="00D41D8F" w:rsidRPr="00D41D8F" w14:paraId="21DA42AA" w14:textId="77777777" w:rsidTr="00740D73">
        <w:trPr>
          <w:trHeight w:val="413"/>
        </w:trPr>
        <w:tc>
          <w:tcPr>
            <w:tcW w:w="417" w:type="dxa"/>
            <w:tcBorders>
              <w:top w:val="single" w:sz="4" w:space="0" w:color="auto"/>
              <w:bottom w:val="single" w:sz="8" w:space="0" w:color="000000"/>
              <w:right w:val="nil"/>
            </w:tcBorders>
          </w:tcPr>
          <w:p w14:paraId="57F35229" w14:textId="77777777" w:rsidR="00D41D8F" w:rsidRPr="00D41D8F" w:rsidRDefault="00D41D8F" w:rsidP="00D41D8F">
            <w:pPr>
              <w:spacing w:after="0" w:line="240" w:lineRule="auto"/>
              <w:ind w:left="360" w:hanging="360"/>
              <w:jc w:val="both"/>
              <w:rPr>
                <w:rFonts w:ascii="Arial" w:eastAsia="Calibri" w:hAnsi="Arial" w:cs="Arial"/>
                <w:color w:val="000000"/>
                <w:kern w:val="0"/>
                <w:sz w:val="24"/>
                <w:szCs w:val="24"/>
                <w14:ligatures w14:val="none"/>
              </w:rPr>
            </w:pPr>
            <w:r w:rsidRPr="00D41D8F">
              <w:rPr>
                <w:rFonts w:ascii="Arial" w:eastAsia="Calibri" w:hAnsi="Arial" w:cs="Arial"/>
                <w:b/>
                <w:color w:val="000000"/>
                <w:kern w:val="0"/>
                <w:sz w:val="24"/>
                <w:szCs w:val="24"/>
                <w14:ligatures w14:val="none"/>
              </w:rPr>
              <w:t>1.</w:t>
            </w:r>
          </w:p>
        </w:tc>
        <w:tc>
          <w:tcPr>
            <w:tcW w:w="8428" w:type="dxa"/>
            <w:tcBorders>
              <w:top w:val="single" w:sz="4" w:space="0" w:color="auto"/>
              <w:left w:val="nil"/>
              <w:bottom w:val="single" w:sz="8" w:space="0" w:color="000000"/>
            </w:tcBorders>
          </w:tcPr>
          <w:p w14:paraId="2CA3C571"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r w:rsidRPr="00D41D8F">
              <w:rPr>
                <w:rFonts w:ascii="Arial" w:eastAsia="Calibri" w:hAnsi="Arial" w:cs="Arial"/>
                <w:b/>
                <w:color w:val="000000"/>
                <w:kern w:val="0"/>
                <w:sz w:val="24"/>
                <w:szCs w:val="24"/>
                <w14:ligatures w14:val="none"/>
              </w:rPr>
              <w:t>Note the report and to consider any recommendations it wishes to make to Cabinet.</w:t>
            </w:r>
          </w:p>
        </w:tc>
      </w:tr>
    </w:tbl>
    <w:p w14:paraId="4D3C3997" w14:textId="77777777" w:rsidR="00D41D8F" w:rsidRPr="00D41D8F" w:rsidRDefault="00D41D8F" w:rsidP="00D41D8F">
      <w:pPr>
        <w:spacing w:after="0" w:line="240" w:lineRule="auto"/>
        <w:jc w:val="both"/>
        <w:rPr>
          <w:rFonts w:ascii="Arial" w:eastAsia="Calibri" w:hAnsi="Arial" w:cs="Arial"/>
          <w:color w:val="000000"/>
          <w:kern w:val="0"/>
          <w:sz w:val="24"/>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41D8F" w:rsidRPr="00D41D8F" w14:paraId="5E2DFE32" w14:textId="77777777" w:rsidTr="00740D73">
        <w:tc>
          <w:tcPr>
            <w:tcW w:w="8844" w:type="dxa"/>
            <w:tcBorders>
              <w:top w:val="single" w:sz="8" w:space="0" w:color="000000"/>
              <w:left w:val="single" w:sz="8" w:space="0" w:color="000000"/>
              <w:bottom w:val="nil"/>
              <w:right w:val="single" w:sz="8" w:space="0" w:color="000000"/>
            </w:tcBorders>
            <w:shd w:val="clear" w:color="auto" w:fill="auto"/>
          </w:tcPr>
          <w:p w14:paraId="1A7A3AC9" w14:textId="77777777" w:rsidR="00D41D8F" w:rsidRPr="00D41D8F" w:rsidRDefault="00D41D8F" w:rsidP="00D41D8F">
            <w:pPr>
              <w:spacing w:after="0" w:line="240" w:lineRule="auto"/>
              <w:jc w:val="center"/>
              <w:rPr>
                <w:rFonts w:ascii="Arial" w:eastAsia="Calibri" w:hAnsi="Arial" w:cs="Arial"/>
                <w:color w:val="000000"/>
                <w:kern w:val="0"/>
                <w:sz w:val="24"/>
                <w:szCs w:val="24"/>
                <w14:ligatures w14:val="none"/>
              </w:rPr>
            </w:pPr>
            <w:r w:rsidRPr="00D41D8F">
              <w:rPr>
                <w:rFonts w:ascii="Arial" w:eastAsia="Calibri" w:hAnsi="Arial" w:cs="Arial"/>
                <w:b/>
                <w:color w:val="000000"/>
                <w:kern w:val="0"/>
                <w:sz w:val="24"/>
                <w:szCs w:val="24"/>
                <w14:ligatures w14:val="none"/>
              </w:rPr>
              <w:t>Appendices</w:t>
            </w:r>
          </w:p>
        </w:tc>
      </w:tr>
      <w:tr w:rsidR="00D41D8F" w:rsidRPr="00D41D8F" w14:paraId="5FA79816" w14:textId="77777777" w:rsidTr="00740D73">
        <w:tc>
          <w:tcPr>
            <w:tcW w:w="8844" w:type="dxa"/>
            <w:tcBorders>
              <w:top w:val="nil"/>
              <w:left w:val="single" w:sz="8" w:space="0" w:color="000000"/>
              <w:bottom w:val="single" w:sz="8" w:space="0" w:color="000000"/>
              <w:right w:val="single" w:sz="8" w:space="0" w:color="000000"/>
            </w:tcBorders>
            <w:shd w:val="clear" w:color="auto" w:fill="auto"/>
          </w:tcPr>
          <w:p w14:paraId="257DA174" w14:textId="4346F433" w:rsidR="00D41D8F" w:rsidRPr="00D41D8F" w:rsidRDefault="00D41D8F" w:rsidP="00D41D8F">
            <w:pPr>
              <w:spacing w:after="0" w:line="240" w:lineRule="auto"/>
              <w:ind w:right="-6317"/>
              <w:jc w:val="both"/>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None</w:t>
            </w:r>
          </w:p>
        </w:tc>
      </w:tr>
    </w:tbl>
    <w:p w14:paraId="1F228AC7" w14:textId="77777777" w:rsidR="00D41D8F" w:rsidRDefault="00D41D8F">
      <w:pPr>
        <w:rPr>
          <w:rFonts w:ascii="Arial" w:hAnsi="Arial" w:cs="Arial"/>
          <w:b/>
          <w:bCs/>
          <w:sz w:val="24"/>
          <w:szCs w:val="24"/>
          <w:u w:val="single"/>
        </w:rPr>
      </w:pPr>
    </w:p>
    <w:p w14:paraId="75667531" w14:textId="77777777" w:rsidR="00577613" w:rsidRPr="00773ABD" w:rsidRDefault="00AE2476">
      <w:pPr>
        <w:rPr>
          <w:rFonts w:ascii="Arial" w:hAnsi="Arial" w:cs="Arial"/>
          <w:b/>
          <w:bCs/>
          <w:sz w:val="24"/>
          <w:szCs w:val="24"/>
          <w:u w:val="single"/>
        </w:rPr>
      </w:pPr>
      <w:r w:rsidRPr="00773ABD">
        <w:rPr>
          <w:rFonts w:ascii="Arial" w:hAnsi="Arial" w:cs="Arial"/>
          <w:b/>
          <w:bCs/>
          <w:sz w:val="24"/>
          <w:szCs w:val="24"/>
          <w:u w:val="single"/>
        </w:rPr>
        <w:t>Next Steps for Fleet Decarbonisation</w:t>
      </w:r>
    </w:p>
    <w:p w14:paraId="76AAE224" w14:textId="77777777" w:rsidR="008B1449" w:rsidRPr="00773ABD" w:rsidRDefault="008B1449">
      <w:pPr>
        <w:rPr>
          <w:rFonts w:ascii="Arial" w:hAnsi="Arial" w:cs="Arial"/>
          <w:b/>
          <w:bCs/>
          <w:sz w:val="24"/>
          <w:szCs w:val="24"/>
          <w:u w:val="single"/>
        </w:rPr>
      </w:pPr>
      <w:r w:rsidRPr="00773ABD">
        <w:rPr>
          <w:rFonts w:ascii="Arial" w:hAnsi="Arial" w:cs="Arial"/>
          <w:b/>
          <w:bCs/>
          <w:sz w:val="24"/>
          <w:szCs w:val="24"/>
          <w:u w:val="single"/>
        </w:rPr>
        <w:t>Background</w:t>
      </w:r>
    </w:p>
    <w:p w14:paraId="14B27D56" w14:textId="7A379349" w:rsidR="00AE2476" w:rsidRDefault="008B1449" w:rsidP="001A0247">
      <w:pPr>
        <w:pStyle w:val="ListParagraph"/>
        <w:numPr>
          <w:ilvl w:val="0"/>
          <w:numId w:val="5"/>
        </w:numPr>
        <w:ind w:left="360"/>
        <w:rPr>
          <w:rFonts w:ascii="Arial" w:hAnsi="Arial" w:cs="Arial"/>
          <w:sz w:val="24"/>
          <w:szCs w:val="24"/>
        </w:rPr>
      </w:pPr>
      <w:r w:rsidRPr="001A0247">
        <w:rPr>
          <w:rFonts w:ascii="Arial" w:hAnsi="Arial" w:cs="Arial"/>
          <w:sz w:val="24"/>
          <w:szCs w:val="24"/>
        </w:rPr>
        <w:t>ODS has been proactively replacing the diesel fleet with electr</w:t>
      </w:r>
      <w:r w:rsidR="00773ABD" w:rsidRPr="001A0247">
        <w:rPr>
          <w:rFonts w:ascii="Arial" w:hAnsi="Arial" w:cs="Arial"/>
          <w:sz w:val="24"/>
          <w:szCs w:val="24"/>
        </w:rPr>
        <w:t xml:space="preserve">ic vehicles for the last decade, though </w:t>
      </w:r>
      <w:r w:rsidRPr="001A0247">
        <w:rPr>
          <w:rFonts w:ascii="Arial" w:hAnsi="Arial" w:cs="Arial"/>
          <w:sz w:val="24"/>
          <w:szCs w:val="24"/>
        </w:rPr>
        <w:t xml:space="preserve">with </w:t>
      </w:r>
      <w:r w:rsidR="00773ABD" w:rsidRPr="001A0247">
        <w:rPr>
          <w:rFonts w:ascii="Arial" w:hAnsi="Arial" w:cs="Arial"/>
          <w:sz w:val="24"/>
          <w:szCs w:val="24"/>
        </w:rPr>
        <w:t xml:space="preserve">innovation grant the Council won for Energy </w:t>
      </w:r>
      <w:proofErr w:type="spellStart"/>
      <w:r w:rsidRPr="001A0247">
        <w:rPr>
          <w:rFonts w:ascii="Arial" w:hAnsi="Arial" w:cs="Arial"/>
          <w:sz w:val="24"/>
          <w:szCs w:val="24"/>
        </w:rPr>
        <w:t>Superhub</w:t>
      </w:r>
      <w:proofErr w:type="spellEnd"/>
      <w:r w:rsidRPr="001A0247">
        <w:rPr>
          <w:rFonts w:ascii="Arial" w:hAnsi="Arial" w:cs="Arial"/>
          <w:sz w:val="24"/>
          <w:szCs w:val="24"/>
        </w:rPr>
        <w:t xml:space="preserve"> Oxford </w:t>
      </w:r>
      <w:r w:rsidR="00584BA9" w:rsidRPr="001A0247">
        <w:rPr>
          <w:rFonts w:ascii="Arial" w:hAnsi="Arial" w:cs="Arial"/>
          <w:sz w:val="24"/>
          <w:szCs w:val="24"/>
        </w:rPr>
        <w:t xml:space="preserve">in 2020 </w:t>
      </w:r>
      <w:r w:rsidRPr="001A0247">
        <w:rPr>
          <w:rFonts w:ascii="Arial" w:hAnsi="Arial" w:cs="Arial"/>
          <w:sz w:val="24"/>
          <w:szCs w:val="24"/>
        </w:rPr>
        <w:t xml:space="preserve">this </w:t>
      </w:r>
      <w:r w:rsidR="00584BA9" w:rsidRPr="001A0247">
        <w:rPr>
          <w:rFonts w:ascii="Arial" w:hAnsi="Arial" w:cs="Arial"/>
          <w:sz w:val="24"/>
          <w:szCs w:val="24"/>
        </w:rPr>
        <w:t>allowed a</w:t>
      </w:r>
      <w:r w:rsidR="00C33A1C" w:rsidRPr="001A0247">
        <w:rPr>
          <w:rFonts w:ascii="Arial" w:hAnsi="Arial" w:cs="Arial"/>
          <w:sz w:val="24"/>
          <w:szCs w:val="24"/>
        </w:rPr>
        <w:t>n acceleration in the</w:t>
      </w:r>
      <w:r w:rsidR="00584BA9" w:rsidRPr="001A0247">
        <w:rPr>
          <w:rFonts w:ascii="Arial" w:hAnsi="Arial" w:cs="Arial"/>
          <w:sz w:val="24"/>
          <w:szCs w:val="24"/>
        </w:rPr>
        <w:t xml:space="preserve"> replacement</w:t>
      </w:r>
      <w:r w:rsidR="00C33A1C" w:rsidRPr="001A0247">
        <w:rPr>
          <w:rFonts w:ascii="Arial" w:hAnsi="Arial" w:cs="Arial"/>
          <w:sz w:val="24"/>
          <w:szCs w:val="24"/>
        </w:rPr>
        <w:t xml:space="preserve"> programme</w:t>
      </w:r>
      <w:r w:rsidR="00584BA9" w:rsidRPr="001A0247">
        <w:rPr>
          <w:rFonts w:ascii="Arial" w:hAnsi="Arial" w:cs="Arial"/>
          <w:sz w:val="24"/>
          <w:szCs w:val="24"/>
        </w:rPr>
        <w:t xml:space="preserve">.  Over the last two years ODS has continued to replace vehicles </w:t>
      </w:r>
      <w:r w:rsidR="00C33A1C" w:rsidRPr="001A0247">
        <w:rPr>
          <w:rFonts w:ascii="Arial" w:hAnsi="Arial" w:cs="Arial"/>
          <w:sz w:val="24"/>
          <w:szCs w:val="24"/>
        </w:rPr>
        <w:t>and will meet and potentially exceed a</w:t>
      </w:r>
      <w:r w:rsidR="00584BA9" w:rsidRPr="001A0247">
        <w:rPr>
          <w:rFonts w:ascii="Arial" w:hAnsi="Arial" w:cs="Arial"/>
          <w:sz w:val="24"/>
          <w:szCs w:val="24"/>
        </w:rPr>
        <w:t xml:space="preserve"> target of 25% of its flee</w:t>
      </w:r>
      <w:r w:rsidR="000A6418" w:rsidRPr="001A0247">
        <w:rPr>
          <w:rFonts w:ascii="Arial" w:hAnsi="Arial" w:cs="Arial"/>
          <w:sz w:val="24"/>
          <w:szCs w:val="24"/>
        </w:rPr>
        <w:t xml:space="preserve">t </w:t>
      </w:r>
      <w:r w:rsidR="00773ABD" w:rsidRPr="001A0247">
        <w:rPr>
          <w:rFonts w:ascii="Arial" w:hAnsi="Arial" w:cs="Arial"/>
          <w:sz w:val="24"/>
          <w:szCs w:val="24"/>
        </w:rPr>
        <w:t xml:space="preserve">of c320 vehicles </w:t>
      </w:r>
      <w:r w:rsidR="000A6418" w:rsidRPr="001A0247">
        <w:rPr>
          <w:rFonts w:ascii="Arial" w:hAnsi="Arial" w:cs="Arial"/>
          <w:sz w:val="24"/>
          <w:szCs w:val="24"/>
        </w:rPr>
        <w:t xml:space="preserve">to be electric by </w:t>
      </w:r>
      <w:r w:rsidR="00773ABD" w:rsidRPr="001A0247">
        <w:rPr>
          <w:rFonts w:ascii="Arial" w:hAnsi="Arial" w:cs="Arial"/>
          <w:sz w:val="24"/>
          <w:szCs w:val="24"/>
        </w:rPr>
        <w:t>the end of this year</w:t>
      </w:r>
      <w:r w:rsidR="000A6418" w:rsidRPr="001A0247">
        <w:rPr>
          <w:rFonts w:ascii="Arial" w:hAnsi="Arial" w:cs="Arial"/>
          <w:sz w:val="24"/>
          <w:szCs w:val="24"/>
        </w:rPr>
        <w:t xml:space="preserve">. </w:t>
      </w:r>
      <w:r w:rsidR="00584BA9" w:rsidRPr="001A0247">
        <w:rPr>
          <w:rFonts w:ascii="Arial" w:hAnsi="Arial" w:cs="Arial"/>
          <w:sz w:val="24"/>
          <w:szCs w:val="24"/>
        </w:rPr>
        <w:t>Beyond that date there have been no</w:t>
      </w:r>
      <w:r w:rsidR="00472997" w:rsidRPr="001A0247">
        <w:rPr>
          <w:rFonts w:ascii="Arial" w:hAnsi="Arial" w:cs="Arial"/>
          <w:sz w:val="24"/>
          <w:szCs w:val="24"/>
        </w:rPr>
        <w:t xml:space="preserve"> official</w:t>
      </w:r>
      <w:r w:rsidR="00584BA9" w:rsidRPr="001A0247">
        <w:rPr>
          <w:rFonts w:ascii="Arial" w:hAnsi="Arial" w:cs="Arial"/>
          <w:sz w:val="24"/>
          <w:szCs w:val="24"/>
        </w:rPr>
        <w:t xml:space="preserve"> new targets set for decarbonising the fleet</w:t>
      </w:r>
      <w:r w:rsidR="00472997" w:rsidRPr="001A0247">
        <w:rPr>
          <w:rFonts w:ascii="Arial" w:hAnsi="Arial" w:cs="Arial"/>
          <w:sz w:val="24"/>
          <w:szCs w:val="24"/>
        </w:rPr>
        <w:t xml:space="preserve"> but </w:t>
      </w:r>
      <w:r w:rsidR="00AE2476" w:rsidRPr="001A0247">
        <w:rPr>
          <w:rFonts w:ascii="Arial" w:hAnsi="Arial" w:cs="Arial"/>
          <w:sz w:val="24"/>
          <w:szCs w:val="24"/>
        </w:rPr>
        <w:t xml:space="preserve">Oxford </w:t>
      </w:r>
      <w:r w:rsidR="008F2C42" w:rsidRPr="001A0247">
        <w:rPr>
          <w:rFonts w:ascii="Arial" w:hAnsi="Arial" w:cs="Arial"/>
          <w:sz w:val="24"/>
          <w:szCs w:val="24"/>
        </w:rPr>
        <w:t>City Council has a target of Net Zero Carbon by 2030</w:t>
      </w:r>
      <w:r w:rsidR="00773ABD" w:rsidRPr="001A0247">
        <w:rPr>
          <w:rFonts w:ascii="Arial" w:hAnsi="Arial" w:cs="Arial"/>
          <w:sz w:val="24"/>
          <w:szCs w:val="24"/>
        </w:rPr>
        <w:t xml:space="preserve">, which would almost certainly require a net zero fleet.  This paper outlines the rationale for not setting a new interim EV fleet target and </w:t>
      </w:r>
      <w:r w:rsidR="00472997" w:rsidRPr="001A0247">
        <w:rPr>
          <w:rFonts w:ascii="Arial" w:hAnsi="Arial" w:cs="Arial"/>
          <w:sz w:val="24"/>
          <w:szCs w:val="24"/>
        </w:rPr>
        <w:t>options and challenges for decarbonising the rest of the fleet over the next 7 years.</w:t>
      </w:r>
    </w:p>
    <w:p w14:paraId="141320CC" w14:textId="77777777" w:rsidR="00D41D8F" w:rsidRDefault="00D41D8F" w:rsidP="001A0247">
      <w:pPr>
        <w:rPr>
          <w:rFonts w:ascii="Arial" w:hAnsi="Arial" w:cs="Arial"/>
          <w:b/>
          <w:sz w:val="24"/>
          <w:szCs w:val="24"/>
        </w:rPr>
      </w:pPr>
    </w:p>
    <w:p w14:paraId="60E97850" w14:textId="3B1C7C6B" w:rsidR="00773ABD" w:rsidRPr="001A0247" w:rsidRDefault="00773ABD" w:rsidP="001A0247">
      <w:pPr>
        <w:rPr>
          <w:rFonts w:ascii="Arial" w:hAnsi="Arial" w:cs="Arial"/>
          <w:b/>
          <w:sz w:val="24"/>
          <w:szCs w:val="24"/>
        </w:rPr>
      </w:pPr>
      <w:r w:rsidRPr="001A0247">
        <w:rPr>
          <w:rFonts w:ascii="Arial" w:hAnsi="Arial" w:cs="Arial"/>
          <w:b/>
          <w:sz w:val="24"/>
          <w:szCs w:val="24"/>
        </w:rPr>
        <w:lastRenderedPageBreak/>
        <w:t>Strategic approach to decarbonisation</w:t>
      </w:r>
    </w:p>
    <w:p w14:paraId="30A8D956" w14:textId="77777777" w:rsidR="00773ABD" w:rsidRDefault="00773ABD"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In December 2021, </w:t>
      </w:r>
      <w:hyperlink r:id="rId8" w:history="1">
        <w:r w:rsidRPr="001A0247">
          <w:rPr>
            <w:rStyle w:val="Hyperlink"/>
            <w:rFonts w:ascii="Arial" w:hAnsi="Arial" w:cs="Arial"/>
            <w:sz w:val="24"/>
            <w:szCs w:val="24"/>
          </w:rPr>
          <w:t>Oxford City Council clarified</w:t>
        </w:r>
      </w:hyperlink>
      <w:r w:rsidRPr="001A0247">
        <w:rPr>
          <w:rFonts w:ascii="Arial" w:hAnsi="Arial" w:cs="Arial"/>
          <w:sz w:val="24"/>
          <w:szCs w:val="24"/>
        </w:rPr>
        <w:t xml:space="preserve"> its approach to Net Zero would focus on investment in long-term sustainable solutions, rather than short-term measures with long-term cost commitments and minimal co-benefits or cost-reductions to the Council (such as green gas purchase and offsetting). This approach was aligned to advice provided by Professor Nick Eyre. This included the prioritisation of expenditure according to the following hierarchy: </w:t>
      </w:r>
    </w:p>
    <w:p w14:paraId="5181672E" w14:textId="77777777" w:rsidR="001A0247" w:rsidRPr="001A0247" w:rsidRDefault="001A0247" w:rsidP="001A0247">
      <w:pPr>
        <w:pStyle w:val="ListParagraph"/>
        <w:ind w:left="360"/>
        <w:rPr>
          <w:rFonts w:ascii="Arial" w:hAnsi="Arial" w:cs="Arial"/>
          <w:sz w:val="24"/>
          <w:szCs w:val="24"/>
        </w:rPr>
      </w:pPr>
    </w:p>
    <w:p w14:paraId="58A68498" w14:textId="77777777" w:rsidR="00773ABD" w:rsidRPr="001A0247" w:rsidRDefault="00773ABD" w:rsidP="001A0247">
      <w:pPr>
        <w:pStyle w:val="ListParagraph"/>
        <w:numPr>
          <w:ilvl w:val="1"/>
          <w:numId w:val="5"/>
        </w:numPr>
        <w:spacing w:after="0" w:line="240" w:lineRule="auto"/>
        <w:contextualSpacing w:val="0"/>
        <w:rPr>
          <w:rFonts w:ascii="Arial" w:hAnsi="Arial" w:cs="Arial"/>
          <w:sz w:val="24"/>
          <w:szCs w:val="24"/>
        </w:rPr>
      </w:pPr>
      <w:r w:rsidRPr="001A0247">
        <w:rPr>
          <w:rFonts w:ascii="Arial" w:hAnsi="Arial" w:cs="Arial"/>
          <w:sz w:val="24"/>
          <w:szCs w:val="24"/>
        </w:rPr>
        <w:t>‘Additional’ emissions reduction by the Council from its own activities</w:t>
      </w:r>
    </w:p>
    <w:p w14:paraId="07399895" w14:textId="77777777" w:rsidR="00773ABD" w:rsidRPr="001A0247" w:rsidRDefault="00773ABD" w:rsidP="001A0247">
      <w:pPr>
        <w:pStyle w:val="ListParagraph"/>
        <w:numPr>
          <w:ilvl w:val="1"/>
          <w:numId w:val="5"/>
        </w:numPr>
        <w:spacing w:after="0" w:line="240" w:lineRule="auto"/>
        <w:contextualSpacing w:val="0"/>
        <w:rPr>
          <w:rFonts w:ascii="Arial" w:hAnsi="Arial" w:cs="Arial"/>
          <w:sz w:val="24"/>
          <w:szCs w:val="24"/>
        </w:rPr>
      </w:pPr>
      <w:proofErr w:type="spellStart"/>
      <w:r w:rsidRPr="001A0247">
        <w:rPr>
          <w:rFonts w:ascii="Arial" w:hAnsi="Arial" w:cs="Arial"/>
          <w:sz w:val="24"/>
          <w:szCs w:val="24"/>
        </w:rPr>
        <w:t>Insetting</w:t>
      </w:r>
      <w:proofErr w:type="spellEnd"/>
      <w:r w:rsidRPr="001A0247">
        <w:rPr>
          <w:rFonts w:ascii="Arial" w:hAnsi="Arial" w:cs="Arial"/>
          <w:sz w:val="24"/>
          <w:szCs w:val="24"/>
        </w:rPr>
        <w:t xml:space="preserve"> (i.e. support for emissions reduction by others in Oxford).</w:t>
      </w:r>
    </w:p>
    <w:p w14:paraId="479F4C0B" w14:textId="77777777" w:rsidR="00773ABD" w:rsidRPr="001A0247" w:rsidRDefault="00773ABD" w:rsidP="001A0247">
      <w:pPr>
        <w:pStyle w:val="ListParagraph"/>
        <w:numPr>
          <w:ilvl w:val="1"/>
          <w:numId w:val="5"/>
        </w:numPr>
        <w:spacing w:after="0" w:line="240" w:lineRule="auto"/>
        <w:contextualSpacing w:val="0"/>
        <w:rPr>
          <w:rFonts w:ascii="Arial" w:hAnsi="Arial" w:cs="Arial"/>
          <w:sz w:val="24"/>
          <w:szCs w:val="24"/>
        </w:rPr>
      </w:pPr>
      <w:r w:rsidRPr="001A0247">
        <w:rPr>
          <w:rFonts w:ascii="Arial" w:hAnsi="Arial" w:cs="Arial"/>
          <w:sz w:val="24"/>
          <w:szCs w:val="24"/>
        </w:rPr>
        <w:t>Offsetting actions outside the City, including the purchase of green gas credits</w:t>
      </w:r>
    </w:p>
    <w:p w14:paraId="45351983" w14:textId="77777777" w:rsidR="00773ABD" w:rsidRPr="001A0247" w:rsidRDefault="00773ABD" w:rsidP="001A0247">
      <w:pPr>
        <w:spacing w:after="0" w:line="240" w:lineRule="auto"/>
        <w:rPr>
          <w:rFonts w:ascii="Arial" w:hAnsi="Arial" w:cs="Arial"/>
          <w:sz w:val="24"/>
          <w:szCs w:val="24"/>
        </w:rPr>
      </w:pPr>
    </w:p>
    <w:p w14:paraId="2120966D" w14:textId="77777777" w:rsidR="00773ABD" w:rsidRDefault="00773ABD" w:rsidP="001A0247">
      <w:pPr>
        <w:pStyle w:val="ListParagraph"/>
        <w:numPr>
          <w:ilvl w:val="0"/>
          <w:numId w:val="5"/>
        </w:numPr>
        <w:spacing w:after="0" w:line="240" w:lineRule="auto"/>
        <w:ind w:left="360"/>
        <w:rPr>
          <w:rFonts w:ascii="Arial" w:hAnsi="Arial" w:cs="Arial"/>
          <w:sz w:val="24"/>
          <w:szCs w:val="24"/>
        </w:rPr>
      </w:pPr>
      <w:r w:rsidRPr="001A0247">
        <w:rPr>
          <w:rFonts w:ascii="Arial" w:hAnsi="Arial" w:cs="Arial"/>
          <w:sz w:val="24"/>
          <w:szCs w:val="24"/>
        </w:rPr>
        <w:t xml:space="preserve">Fleet emissions account for 27% of the Council’s emissions. The Council/ODS is on track to meet its current target to switch over 25% of the c.320 fleet vehicles to electric during 2023. </w:t>
      </w:r>
    </w:p>
    <w:p w14:paraId="46B1A115" w14:textId="77777777" w:rsidR="001A0247" w:rsidRPr="001A0247" w:rsidRDefault="001A0247" w:rsidP="001A0247">
      <w:pPr>
        <w:pStyle w:val="ListParagraph"/>
        <w:spacing w:after="0" w:line="240" w:lineRule="auto"/>
        <w:ind w:left="360"/>
        <w:rPr>
          <w:rFonts w:ascii="Arial" w:hAnsi="Arial" w:cs="Arial"/>
          <w:sz w:val="24"/>
          <w:szCs w:val="24"/>
        </w:rPr>
      </w:pPr>
    </w:p>
    <w:p w14:paraId="27290E0C" w14:textId="1991C540" w:rsidR="00773ABD" w:rsidRPr="001A0247" w:rsidRDefault="00773ABD" w:rsidP="001A0247">
      <w:pPr>
        <w:rPr>
          <w:rFonts w:ascii="Arial" w:hAnsi="Arial" w:cs="Arial"/>
          <w:b/>
          <w:sz w:val="24"/>
          <w:szCs w:val="24"/>
          <w:u w:val="single"/>
        </w:rPr>
      </w:pPr>
      <w:r w:rsidRPr="001A0247">
        <w:rPr>
          <w:rFonts w:ascii="Arial" w:hAnsi="Arial" w:cs="Arial"/>
          <w:b/>
          <w:sz w:val="24"/>
          <w:szCs w:val="24"/>
          <w:u w:val="single"/>
        </w:rPr>
        <w:t>Fleet decarbonisation</w:t>
      </w:r>
    </w:p>
    <w:p w14:paraId="5567DCB5" w14:textId="312EA8FA" w:rsidR="00AE5FD3" w:rsidRPr="001A0247" w:rsidRDefault="006E140D" w:rsidP="001A0247">
      <w:pPr>
        <w:pStyle w:val="ListParagraph"/>
        <w:numPr>
          <w:ilvl w:val="0"/>
          <w:numId w:val="5"/>
        </w:numPr>
        <w:ind w:left="360"/>
        <w:rPr>
          <w:rFonts w:ascii="Arial" w:hAnsi="Arial" w:cs="Arial"/>
          <w:sz w:val="24"/>
          <w:szCs w:val="24"/>
        </w:rPr>
      </w:pPr>
      <w:r w:rsidRPr="001A0247">
        <w:rPr>
          <w:rFonts w:ascii="Arial" w:hAnsi="Arial" w:cs="Arial"/>
          <w:sz w:val="24"/>
          <w:szCs w:val="24"/>
        </w:rPr>
        <w:t>Currently there are t</w:t>
      </w:r>
      <w:r w:rsidR="00AE5FD3" w:rsidRPr="001A0247">
        <w:rPr>
          <w:rFonts w:ascii="Arial" w:hAnsi="Arial" w:cs="Arial"/>
          <w:sz w:val="24"/>
          <w:szCs w:val="24"/>
        </w:rPr>
        <w:t>wo</w:t>
      </w:r>
      <w:r w:rsidRPr="001A0247">
        <w:rPr>
          <w:rFonts w:ascii="Arial" w:hAnsi="Arial" w:cs="Arial"/>
          <w:sz w:val="24"/>
          <w:szCs w:val="24"/>
        </w:rPr>
        <w:t xml:space="preserve"> main ways of </w:t>
      </w:r>
      <w:r w:rsidR="00AE5FD3" w:rsidRPr="001A0247">
        <w:rPr>
          <w:rFonts w:ascii="Arial" w:hAnsi="Arial" w:cs="Arial"/>
          <w:sz w:val="24"/>
          <w:szCs w:val="24"/>
        </w:rPr>
        <w:t xml:space="preserve">fully </w:t>
      </w:r>
      <w:r w:rsidRPr="001A0247">
        <w:rPr>
          <w:rFonts w:ascii="Arial" w:hAnsi="Arial" w:cs="Arial"/>
          <w:sz w:val="24"/>
          <w:szCs w:val="24"/>
        </w:rPr>
        <w:t>decarbonising a fleet</w:t>
      </w:r>
      <w:r w:rsidR="00AE5FD3" w:rsidRPr="001A0247">
        <w:rPr>
          <w:rFonts w:ascii="Arial" w:hAnsi="Arial" w:cs="Arial"/>
          <w:sz w:val="24"/>
          <w:szCs w:val="24"/>
        </w:rPr>
        <w:t xml:space="preserve"> – by switching to EVs or hydrogen-powered vehicles. The other option, Hydro-treated Vegetable Oil (HVO) can be used to partially decarbonise </w:t>
      </w:r>
      <w:r w:rsidR="00680CBF" w:rsidRPr="001A0247">
        <w:rPr>
          <w:rFonts w:ascii="Arial" w:hAnsi="Arial" w:cs="Arial"/>
          <w:sz w:val="24"/>
          <w:szCs w:val="24"/>
        </w:rPr>
        <w:t>a fleet. Nevertheless</w:t>
      </w:r>
      <w:r w:rsidR="00AE5FD3" w:rsidRPr="001A0247">
        <w:rPr>
          <w:rFonts w:ascii="Arial" w:hAnsi="Arial" w:cs="Arial"/>
          <w:sz w:val="24"/>
          <w:szCs w:val="24"/>
        </w:rPr>
        <w:t>, there are significant risks associated with making a bet on any of these technologies today.</w:t>
      </w:r>
    </w:p>
    <w:p w14:paraId="7ADAD4C4" w14:textId="73B8C0E8" w:rsidR="00680CBF" w:rsidRPr="001A0247" w:rsidRDefault="00680CBF" w:rsidP="001A0247">
      <w:pPr>
        <w:spacing w:after="0" w:line="240" w:lineRule="auto"/>
        <w:rPr>
          <w:rFonts w:ascii="Arial" w:hAnsi="Arial" w:cs="Arial"/>
          <w:b/>
          <w:sz w:val="24"/>
          <w:szCs w:val="24"/>
        </w:rPr>
      </w:pPr>
      <w:r w:rsidRPr="001A0247">
        <w:rPr>
          <w:rFonts w:ascii="Arial" w:hAnsi="Arial" w:cs="Arial"/>
          <w:b/>
          <w:sz w:val="24"/>
          <w:szCs w:val="24"/>
        </w:rPr>
        <w:t>Hydrogen</w:t>
      </w:r>
    </w:p>
    <w:p w14:paraId="11CD859C" w14:textId="77777777" w:rsidR="00680CBF" w:rsidRPr="001A0247" w:rsidRDefault="00680CBF" w:rsidP="001A0247">
      <w:pPr>
        <w:spacing w:after="0" w:line="240" w:lineRule="auto"/>
        <w:rPr>
          <w:rFonts w:ascii="Arial" w:hAnsi="Arial" w:cs="Arial"/>
          <w:b/>
          <w:sz w:val="24"/>
          <w:szCs w:val="24"/>
        </w:rPr>
      </w:pPr>
    </w:p>
    <w:p w14:paraId="38244CFE" w14:textId="77777777" w:rsidR="00680CBF" w:rsidRPr="001A0247" w:rsidRDefault="00AE5FD3" w:rsidP="001A0247">
      <w:pPr>
        <w:pStyle w:val="ListParagraph"/>
        <w:numPr>
          <w:ilvl w:val="0"/>
          <w:numId w:val="5"/>
        </w:numPr>
        <w:spacing w:after="0" w:line="240" w:lineRule="auto"/>
        <w:ind w:left="360"/>
        <w:rPr>
          <w:rFonts w:ascii="Arial" w:hAnsi="Arial" w:cs="Arial"/>
          <w:sz w:val="24"/>
          <w:szCs w:val="24"/>
        </w:rPr>
      </w:pPr>
      <w:r w:rsidRPr="001A0247">
        <w:rPr>
          <w:rFonts w:ascii="Arial" w:hAnsi="Arial" w:cs="Arial"/>
          <w:sz w:val="24"/>
          <w:szCs w:val="24"/>
        </w:rPr>
        <w:t xml:space="preserve">Some in the automotive industry are backing hydrogen fuel cells as </w:t>
      </w:r>
      <w:r w:rsidR="00680CBF" w:rsidRPr="001A0247">
        <w:rPr>
          <w:rFonts w:ascii="Arial" w:hAnsi="Arial" w:cs="Arial"/>
          <w:sz w:val="24"/>
          <w:szCs w:val="24"/>
        </w:rPr>
        <w:t>the optimal</w:t>
      </w:r>
      <w:r w:rsidRPr="001A0247">
        <w:rPr>
          <w:rFonts w:ascii="Arial" w:hAnsi="Arial" w:cs="Arial"/>
          <w:sz w:val="24"/>
          <w:szCs w:val="24"/>
        </w:rPr>
        <w:t xml:space="preserve"> long term solution for zero carbon HGVs – as these would operate without batteries, which are heavy.</w:t>
      </w:r>
      <w:r w:rsidR="00680CBF" w:rsidRPr="001A0247">
        <w:rPr>
          <w:rFonts w:ascii="Arial" w:hAnsi="Arial" w:cs="Arial"/>
          <w:sz w:val="24"/>
          <w:szCs w:val="24"/>
        </w:rPr>
        <w:t xml:space="preserve"> However, h</w:t>
      </w:r>
      <w:r w:rsidRPr="001A0247">
        <w:rPr>
          <w:rFonts w:ascii="Arial" w:hAnsi="Arial" w:cs="Arial"/>
          <w:sz w:val="24"/>
          <w:szCs w:val="24"/>
        </w:rPr>
        <w:t>ydrogen vehicle technology is still in early stages, an</w:t>
      </w:r>
      <w:r w:rsidR="00680CBF" w:rsidRPr="001A0247">
        <w:rPr>
          <w:rFonts w:ascii="Arial" w:hAnsi="Arial" w:cs="Arial"/>
          <w:sz w:val="24"/>
          <w:szCs w:val="24"/>
        </w:rPr>
        <w:t>d</w:t>
      </w:r>
      <w:r w:rsidRPr="001A0247">
        <w:rPr>
          <w:rFonts w:ascii="Arial" w:hAnsi="Arial" w:cs="Arial"/>
          <w:sz w:val="24"/>
          <w:szCs w:val="24"/>
        </w:rPr>
        <w:t xml:space="preserve"> applied to a very limited vehicle pool. Currently it also has extremely high infrastructure costs. </w:t>
      </w:r>
      <w:r w:rsidR="00680CBF" w:rsidRPr="001A0247">
        <w:rPr>
          <w:rFonts w:ascii="Arial" w:hAnsi="Arial" w:cs="Arial"/>
          <w:sz w:val="24"/>
          <w:szCs w:val="24"/>
        </w:rPr>
        <w:t xml:space="preserve">Therefore, while ODS is looking at opportunities to trial the use of a hydrogen vehicle, the technology does not offer current options for an ongoing vehicle replacement programme. </w:t>
      </w:r>
    </w:p>
    <w:p w14:paraId="1EDF641B" w14:textId="77777777" w:rsidR="00680CBF" w:rsidRPr="001A0247" w:rsidRDefault="00680CBF" w:rsidP="001A0247">
      <w:pPr>
        <w:spacing w:after="0" w:line="240" w:lineRule="auto"/>
        <w:rPr>
          <w:rFonts w:ascii="Arial" w:hAnsi="Arial" w:cs="Arial"/>
          <w:sz w:val="24"/>
          <w:szCs w:val="24"/>
        </w:rPr>
      </w:pPr>
    </w:p>
    <w:p w14:paraId="573C71CB" w14:textId="77777777" w:rsidR="00680CBF" w:rsidRPr="001A0247" w:rsidRDefault="00680CBF" w:rsidP="001A0247">
      <w:pPr>
        <w:spacing w:after="0" w:line="240" w:lineRule="auto"/>
        <w:rPr>
          <w:rFonts w:ascii="Arial" w:hAnsi="Arial" w:cs="Arial"/>
          <w:b/>
          <w:sz w:val="24"/>
          <w:szCs w:val="24"/>
        </w:rPr>
      </w:pPr>
    </w:p>
    <w:p w14:paraId="19724624" w14:textId="77777777" w:rsidR="00680CBF" w:rsidRDefault="00680CBF" w:rsidP="001A0247">
      <w:pPr>
        <w:spacing w:after="0" w:line="240" w:lineRule="auto"/>
        <w:rPr>
          <w:rFonts w:ascii="Arial" w:hAnsi="Arial" w:cs="Arial"/>
          <w:b/>
          <w:sz w:val="24"/>
          <w:szCs w:val="24"/>
        </w:rPr>
      </w:pPr>
      <w:r w:rsidRPr="001A0247">
        <w:rPr>
          <w:rFonts w:ascii="Arial" w:hAnsi="Arial" w:cs="Arial"/>
          <w:b/>
          <w:sz w:val="24"/>
          <w:szCs w:val="24"/>
        </w:rPr>
        <w:t>Electric Vehicles</w:t>
      </w:r>
    </w:p>
    <w:p w14:paraId="4C4FC217" w14:textId="77777777" w:rsidR="001A0247" w:rsidRPr="001A0247" w:rsidRDefault="001A0247" w:rsidP="001A0247">
      <w:pPr>
        <w:spacing w:after="0" w:line="240" w:lineRule="auto"/>
        <w:rPr>
          <w:rFonts w:ascii="Arial" w:hAnsi="Arial" w:cs="Arial"/>
          <w:b/>
          <w:sz w:val="24"/>
          <w:szCs w:val="24"/>
        </w:rPr>
      </w:pPr>
    </w:p>
    <w:p w14:paraId="56271031" w14:textId="740740AB" w:rsidR="00680CBF" w:rsidRPr="001A0247" w:rsidRDefault="00AE5FD3" w:rsidP="001A0247">
      <w:pPr>
        <w:pStyle w:val="ListParagraph"/>
        <w:numPr>
          <w:ilvl w:val="0"/>
          <w:numId w:val="5"/>
        </w:numPr>
        <w:spacing w:after="0" w:line="240" w:lineRule="auto"/>
        <w:ind w:left="360"/>
        <w:rPr>
          <w:rFonts w:ascii="Arial" w:hAnsi="Arial" w:cs="Arial"/>
          <w:sz w:val="24"/>
          <w:szCs w:val="24"/>
        </w:rPr>
      </w:pPr>
      <w:r w:rsidRPr="001A0247">
        <w:rPr>
          <w:rFonts w:ascii="Arial" w:hAnsi="Arial" w:cs="Arial"/>
          <w:sz w:val="24"/>
          <w:szCs w:val="24"/>
        </w:rPr>
        <w:t>EV vans and other LGVs are now commonplace and ODS has been using these to replace diesel equivalents that have reached the end of their useful lives</w:t>
      </w:r>
      <w:r w:rsidR="00680CBF" w:rsidRPr="001A0247">
        <w:rPr>
          <w:rFonts w:ascii="Arial" w:hAnsi="Arial" w:cs="Arial"/>
          <w:sz w:val="24"/>
          <w:szCs w:val="24"/>
        </w:rPr>
        <w:t xml:space="preserve">. However, </w:t>
      </w:r>
      <w:r w:rsidR="00773ABD" w:rsidRPr="001A0247">
        <w:rPr>
          <w:rFonts w:ascii="Arial" w:hAnsi="Arial" w:cs="Arial"/>
          <w:sz w:val="24"/>
          <w:szCs w:val="24"/>
        </w:rPr>
        <w:t xml:space="preserve">economically viable solutions are not readily available to electrify larger vehicles such as large vans, tippers, specialist municipal vehicles or HGVs (including refuse collection vehicles). </w:t>
      </w:r>
      <w:r w:rsidR="00DE0A2D" w:rsidRPr="001A0247">
        <w:rPr>
          <w:rFonts w:ascii="Arial" w:hAnsi="Arial" w:cs="Arial"/>
          <w:sz w:val="24"/>
          <w:szCs w:val="24"/>
        </w:rPr>
        <w:t>ODS operates one EV dustcart, however this model is not considered suitable for multiple purchases.</w:t>
      </w:r>
    </w:p>
    <w:p w14:paraId="5F7B7CE0" w14:textId="77777777" w:rsidR="00680CBF" w:rsidRPr="001A0247" w:rsidRDefault="00680CBF" w:rsidP="001A0247">
      <w:pPr>
        <w:spacing w:after="0" w:line="240" w:lineRule="auto"/>
        <w:rPr>
          <w:rFonts w:ascii="Arial" w:hAnsi="Arial" w:cs="Arial"/>
          <w:sz w:val="24"/>
          <w:szCs w:val="24"/>
        </w:rPr>
      </w:pPr>
    </w:p>
    <w:p w14:paraId="266A3FF1" w14:textId="2614E6EE" w:rsidR="00E22D2C" w:rsidRPr="001A0247" w:rsidRDefault="00E22D2C"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EVs are no longer as economically attractive to operate as they previously were, even for the smaller vehicles.  This is primarily due to the rising cost of electric resulting in a higher cost of charge per KW and the now reducing cost of diesel prices again.  The result is a closing gap in fuel savings between diesel and electric. Also relevant is that ODS operates within a small boundary so its fleet </w:t>
      </w:r>
      <w:r w:rsidRPr="001A0247">
        <w:rPr>
          <w:rFonts w:ascii="Arial" w:hAnsi="Arial" w:cs="Arial"/>
          <w:sz w:val="24"/>
          <w:szCs w:val="24"/>
        </w:rPr>
        <w:lastRenderedPageBreak/>
        <w:t>mileage is not high for many vehicles, whereas fuel savings become more relevant the higher the mileage. When considering this and the difference in initial costs of electric vs diesel vehicles of £5,000-20,000 then the reduced fuel savings from electric no longer offset this. The reduction in maintenance service costs is minimal per vehicle. Additionally, the government is removing subsidies for the purchase and operation of electric vehicles.</w:t>
      </w:r>
      <w:r w:rsidR="00D41D8F">
        <w:rPr>
          <w:rFonts w:ascii="Arial" w:hAnsi="Arial" w:cs="Arial"/>
          <w:sz w:val="24"/>
          <w:szCs w:val="24"/>
        </w:rPr>
        <w:br/>
      </w:r>
    </w:p>
    <w:p w14:paraId="0500EE68" w14:textId="347064CF" w:rsidR="00680CBF" w:rsidRPr="001A0247" w:rsidRDefault="0022656B"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Lastly, </w:t>
      </w:r>
      <w:r w:rsidR="00680CBF" w:rsidRPr="001A0247">
        <w:rPr>
          <w:rFonts w:ascii="Arial" w:hAnsi="Arial" w:cs="Arial"/>
          <w:sz w:val="24"/>
          <w:szCs w:val="24"/>
        </w:rPr>
        <w:t xml:space="preserve">ODS also faces challenges around EV charging capacity as it is nearing the limits of existing depot power capacities and installed additional charging units across </w:t>
      </w:r>
      <w:proofErr w:type="spellStart"/>
      <w:r w:rsidR="00680CBF" w:rsidRPr="001A0247">
        <w:rPr>
          <w:rFonts w:ascii="Arial" w:hAnsi="Arial" w:cs="Arial"/>
          <w:sz w:val="24"/>
          <w:szCs w:val="24"/>
        </w:rPr>
        <w:t>Cowley</w:t>
      </w:r>
      <w:proofErr w:type="spellEnd"/>
      <w:r w:rsidR="00680CBF" w:rsidRPr="001A0247">
        <w:rPr>
          <w:rFonts w:ascii="Arial" w:hAnsi="Arial" w:cs="Arial"/>
          <w:sz w:val="24"/>
          <w:szCs w:val="24"/>
        </w:rPr>
        <w:t xml:space="preserve"> Marsh, </w:t>
      </w:r>
      <w:proofErr w:type="spellStart"/>
      <w:r w:rsidR="00680CBF" w:rsidRPr="001A0247">
        <w:rPr>
          <w:rFonts w:ascii="Arial" w:hAnsi="Arial" w:cs="Arial"/>
          <w:sz w:val="24"/>
          <w:szCs w:val="24"/>
        </w:rPr>
        <w:t>Horspath</w:t>
      </w:r>
      <w:proofErr w:type="spellEnd"/>
      <w:r w:rsidR="00680CBF" w:rsidRPr="001A0247">
        <w:rPr>
          <w:rFonts w:ascii="Arial" w:hAnsi="Arial" w:cs="Arial"/>
          <w:sz w:val="24"/>
          <w:szCs w:val="24"/>
        </w:rPr>
        <w:t xml:space="preserve">, </w:t>
      </w:r>
      <w:proofErr w:type="spellStart"/>
      <w:r w:rsidR="00680CBF" w:rsidRPr="001A0247">
        <w:rPr>
          <w:rFonts w:ascii="Arial" w:hAnsi="Arial" w:cs="Arial"/>
          <w:sz w:val="24"/>
          <w:szCs w:val="24"/>
        </w:rPr>
        <w:t>Oxpen</w:t>
      </w:r>
      <w:r w:rsidRPr="001A0247">
        <w:rPr>
          <w:rFonts w:ascii="Arial" w:hAnsi="Arial" w:cs="Arial"/>
          <w:sz w:val="24"/>
          <w:szCs w:val="24"/>
        </w:rPr>
        <w:t>s</w:t>
      </w:r>
      <w:proofErr w:type="spellEnd"/>
      <w:r w:rsidRPr="001A0247">
        <w:rPr>
          <w:rFonts w:ascii="Arial" w:hAnsi="Arial" w:cs="Arial"/>
          <w:sz w:val="24"/>
          <w:szCs w:val="24"/>
        </w:rPr>
        <w:t xml:space="preserve"> and other satellite locations; s</w:t>
      </w:r>
      <w:r w:rsidR="00680CBF" w:rsidRPr="001A0247">
        <w:rPr>
          <w:rFonts w:ascii="Arial" w:hAnsi="Arial" w:cs="Arial"/>
          <w:sz w:val="24"/>
          <w:szCs w:val="24"/>
        </w:rPr>
        <w:t xml:space="preserve">ome additional EV charging units will be added to </w:t>
      </w:r>
      <w:proofErr w:type="spellStart"/>
      <w:r w:rsidR="00680CBF" w:rsidRPr="001A0247">
        <w:rPr>
          <w:rFonts w:ascii="Arial" w:hAnsi="Arial" w:cs="Arial"/>
          <w:sz w:val="24"/>
          <w:szCs w:val="24"/>
        </w:rPr>
        <w:t>Cutteslowe</w:t>
      </w:r>
      <w:proofErr w:type="spellEnd"/>
      <w:r w:rsidR="00680CBF" w:rsidRPr="001A0247">
        <w:rPr>
          <w:rFonts w:ascii="Arial" w:hAnsi="Arial" w:cs="Arial"/>
          <w:sz w:val="24"/>
          <w:szCs w:val="24"/>
        </w:rPr>
        <w:t xml:space="preserve"> Park</w:t>
      </w:r>
      <w:r w:rsidRPr="001A0247">
        <w:rPr>
          <w:rFonts w:ascii="Arial" w:hAnsi="Arial" w:cs="Arial"/>
          <w:sz w:val="24"/>
          <w:szCs w:val="24"/>
        </w:rPr>
        <w:t xml:space="preserve">. </w:t>
      </w:r>
      <w:r w:rsidR="00680CBF" w:rsidRPr="001A0247">
        <w:rPr>
          <w:rFonts w:ascii="Arial" w:hAnsi="Arial" w:cs="Arial"/>
          <w:sz w:val="24"/>
          <w:szCs w:val="24"/>
        </w:rPr>
        <w:t xml:space="preserve"> </w:t>
      </w:r>
      <w:r w:rsidRPr="001A0247">
        <w:rPr>
          <w:rFonts w:ascii="Arial" w:hAnsi="Arial" w:cs="Arial"/>
          <w:sz w:val="24"/>
          <w:szCs w:val="24"/>
        </w:rPr>
        <w:t xml:space="preserve">ODS is working </w:t>
      </w:r>
      <w:r w:rsidR="00680CBF" w:rsidRPr="001A0247">
        <w:rPr>
          <w:rFonts w:ascii="Arial" w:hAnsi="Arial" w:cs="Arial"/>
          <w:sz w:val="24"/>
          <w:szCs w:val="24"/>
        </w:rPr>
        <w:t>with the Council Environmental Sustainability team to look at other options to boost charging capacity for the fleet</w:t>
      </w:r>
      <w:r w:rsidRPr="001A0247">
        <w:rPr>
          <w:rFonts w:ascii="Arial" w:hAnsi="Arial" w:cs="Arial"/>
          <w:sz w:val="24"/>
          <w:szCs w:val="24"/>
        </w:rPr>
        <w:t>, linked to wider work around an implementation plan for the Oxford Electric Vehicle Infrastructure Strategy.</w:t>
      </w:r>
    </w:p>
    <w:p w14:paraId="71FC623A" w14:textId="77777777" w:rsidR="00773ABD" w:rsidRPr="001A0247" w:rsidRDefault="00773ABD" w:rsidP="001A0247">
      <w:pPr>
        <w:rPr>
          <w:rFonts w:ascii="Arial" w:hAnsi="Arial" w:cs="Arial"/>
          <w:b/>
          <w:sz w:val="24"/>
          <w:szCs w:val="24"/>
        </w:rPr>
      </w:pPr>
      <w:r w:rsidRPr="001A0247">
        <w:rPr>
          <w:rFonts w:ascii="Arial" w:hAnsi="Arial" w:cs="Arial"/>
          <w:b/>
          <w:sz w:val="24"/>
          <w:szCs w:val="24"/>
        </w:rPr>
        <w:t>HVO</w:t>
      </w:r>
    </w:p>
    <w:p w14:paraId="63524C15" w14:textId="77777777" w:rsidR="001A0247" w:rsidRDefault="00773ABD" w:rsidP="00DB5FAB">
      <w:pPr>
        <w:pStyle w:val="ListParagraph"/>
        <w:numPr>
          <w:ilvl w:val="0"/>
          <w:numId w:val="5"/>
        </w:numPr>
        <w:ind w:left="360"/>
        <w:rPr>
          <w:rFonts w:ascii="Arial" w:hAnsi="Arial" w:cs="Arial"/>
          <w:sz w:val="24"/>
          <w:szCs w:val="24"/>
        </w:rPr>
      </w:pPr>
      <w:r w:rsidRPr="001A0247">
        <w:rPr>
          <w:rFonts w:ascii="Arial" w:hAnsi="Arial" w:cs="Arial"/>
          <w:sz w:val="24"/>
          <w:szCs w:val="24"/>
        </w:rPr>
        <w:t>The use of HVO has been considered as a ‘drop-in’ fuel to reduce the carbon emissions of remaining diesel fleet vehicles. HVO is a ‘second gene</w:t>
      </w:r>
      <w:r w:rsidR="0022656B" w:rsidRPr="001A0247">
        <w:rPr>
          <w:rFonts w:ascii="Arial" w:hAnsi="Arial" w:cs="Arial"/>
          <w:sz w:val="24"/>
          <w:szCs w:val="24"/>
        </w:rPr>
        <w:t>ration’ biofuel when made from u</w:t>
      </w:r>
      <w:r w:rsidRPr="001A0247">
        <w:rPr>
          <w:rFonts w:ascii="Arial" w:hAnsi="Arial" w:cs="Arial"/>
          <w:sz w:val="24"/>
          <w:szCs w:val="24"/>
        </w:rPr>
        <w:t xml:space="preserve">sed </w:t>
      </w:r>
      <w:r w:rsidR="0022656B" w:rsidRPr="001A0247">
        <w:rPr>
          <w:rFonts w:ascii="Arial" w:hAnsi="Arial" w:cs="Arial"/>
          <w:sz w:val="24"/>
          <w:szCs w:val="24"/>
        </w:rPr>
        <w:t>cooking o</w:t>
      </w:r>
      <w:r w:rsidRPr="001A0247">
        <w:rPr>
          <w:rFonts w:ascii="Arial" w:hAnsi="Arial" w:cs="Arial"/>
          <w:sz w:val="24"/>
          <w:szCs w:val="24"/>
        </w:rPr>
        <w:t xml:space="preserve">il (UCO) such as rapeseed, sunflower, soybean, and palm oil, as well as animal fats, following a chemical process involving </w:t>
      </w:r>
      <w:proofErr w:type="spellStart"/>
      <w:r w:rsidRPr="001A0247">
        <w:rPr>
          <w:rFonts w:ascii="Arial" w:hAnsi="Arial" w:cs="Arial"/>
          <w:sz w:val="24"/>
          <w:szCs w:val="24"/>
        </w:rPr>
        <w:t>hydrotreatment</w:t>
      </w:r>
      <w:proofErr w:type="spellEnd"/>
      <w:r w:rsidRPr="001A0247">
        <w:rPr>
          <w:rFonts w:ascii="Arial" w:hAnsi="Arial" w:cs="Arial"/>
          <w:sz w:val="24"/>
          <w:szCs w:val="24"/>
        </w:rPr>
        <w:t xml:space="preserve"> with hydrogen.</w:t>
      </w:r>
      <w:r w:rsidRPr="001A0247">
        <w:rPr>
          <w:rStyle w:val="FootnoteReference"/>
          <w:rFonts w:ascii="Arial" w:hAnsi="Arial" w:cs="Arial"/>
          <w:sz w:val="24"/>
          <w:szCs w:val="24"/>
        </w:rPr>
        <w:footnoteReference w:id="1"/>
      </w:r>
    </w:p>
    <w:p w14:paraId="4550906D" w14:textId="77777777" w:rsidR="001A0247" w:rsidRDefault="001A0247" w:rsidP="001A0247">
      <w:pPr>
        <w:pStyle w:val="ListParagraph"/>
        <w:ind w:left="360"/>
        <w:rPr>
          <w:rFonts w:ascii="Arial" w:hAnsi="Arial" w:cs="Arial"/>
          <w:sz w:val="24"/>
          <w:szCs w:val="24"/>
        </w:rPr>
      </w:pPr>
    </w:p>
    <w:p w14:paraId="1A461F40" w14:textId="673DB4DE" w:rsidR="00773ABD" w:rsidRDefault="00773ABD" w:rsidP="00DB5FAB">
      <w:pPr>
        <w:pStyle w:val="ListParagraph"/>
        <w:numPr>
          <w:ilvl w:val="0"/>
          <w:numId w:val="5"/>
        </w:numPr>
        <w:ind w:left="360"/>
        <w:rPr>
          <w:rFonts w:ascii="Arial" w:hAnsi="Arial" w:cs="Arial"/>
          <w:sz w:val="24"/>
          <w:szCs w:val="24"/>
        </w:rPr>
      </w:pPr>
      <w:r w:rsidRPr="001A0247">
        <w:rPr>
          <w:rFonts w:ascii="Arial" w:hAnsi="Arial" w:cs="Arial"/>
          <w:sz w:val="24"/>
          <w:szCs w:val="24"/>
        </w:rPr>
        <w:t>HVO can offer carbon savings compared to diesel of up to 90%. Dependent on the contract price, this would cost up to £150 - £200</w:t>
      </w:r>
      <w:r w:rsidR="0022656B" w:rsidRPr="001A0247">
        <w:rPr>
          <w:rFonts w:ascii="Arial" w:hAnsi="Arial" w:cs="Arial"/>
          <w:sz w:val="24"/>
          <w:szCs w:val="24"/>
        </w:rPr>
        <w:t>,000</w:t>
      </w:r>
      <w:r w:rsidRPr="001A0247">
        <w:rPr>
          <w:rFonts w:ascii="Arial" w:hAnsi="Arial" w:cs="Arial"/>
          <w:sz w:val="24"/>
          <w:szCs w:val="24"/>
        </w:rPr>
        <w:t xml:space="preserve"> per year on top of existing ODS’ existing fuel costs. </w:t>
      </w:r>
    </w:p>
    <w:p w14:paraId="0F299B37" w14:textId="77777777" w:rsidR="00773ABD" w:rsidRPr="001A0247" w:rsidRDefault="00773ABD" w:rsidP="001A0247">
      <w:pPr>
        <w:rPr>
          <w:rFonts w:ascii="Arial" w:hAnsi="Arial" w:cs="Arial"/>
          <w:b/>
          <w:sz w:val="24"/>
          <w:szCs w:val="24"/>
        </w:rPr>
      </w:pPr>
      <w:r w:rsidRPr="001A0247">
        <w:rPr>
          <w:rFonts w:ascii="Arial" w:hAnsi="Arial" w:cs="Arial"/>
          <w:b/>
          <w:sz w:val="24"/>
          <w:szCs w:val="24"/>
        </w:rPr>
        <w:t xml:space="preserve">Problems with HVO </w:t>
      </w:r>
    </w:p>
    <w:p w14:paraId="4A3452F7" w14:textId="1B6A89DC" w:rsidR="00773ABD" w:rsidRDefault="00773ABD" w:rsidP="001A0247">
      <w:pPr>
        <w:pStyle w:val="ListParagraph"/>
        <w:numPr>
          <w:ilvl w:val="0"/>
          <w:numId w:val="5"/>
        </w:numPr>
        <w:ind w:left="360"/>
        <w:rPr>
          <w:rFonts w:ascii="Arial" w:hAnsi="Arial" w:cs="Arial"/>
          <w:color w:val="000000"/>
          <w:sz w:val="24"/>
          <w:szCs w:val="24"/>
        </w:rPr>
      </w:pPr>
      <w:r w:rsidRPr="001A0247">
        <w:rPr>
          <w:rFonts w:ascii="Arial" w:hAnsi="Arial" w:cs="Arial"/>
          <w:color w:val="000000"/>
          <w:sz w:val="24"/>
          <w:szCs w:val="24"/>
        </w:rPr>
        <w:t xml:space="preserve">The </w:t>
      </w:r>
      <w:hyperlink r:id="rId9" w:history="1">
        <w:r w:rsidRPr="001A0247">
          <w:rPr>
            <w:rStyle w:val="Hyperlink"/>
            <w:rFonts w:ascii="Arial" w:hAnsi="Arial" w:cs="Arial"/>
            <w:sz w:val="24"/>
            <w:szCs w:val="24"/>
          </w:rPr>
          <w:t>Energy Saving Trust</w:t>
        </w:r>
      </w:hyperlink>
      <w:r w:rsidRPr="001A0247">
        <w:rPr>
          <w:rFonts w:ascii="Arial" w:hAnsi="Arial" w:cs="Arial"/>
          <w:color w:val="000000"/>
          <w:sz w:val="24"/>
          <w:szCs w:val="24"/>
        </w:rPr>
        <w:t xml:space="preserve"> has summarised the issues with HVO, which arise from its lifecycle biodiversity and climate change impacts. These include</w:t>
      </w:r>
      <w:r w:rsidR="001A0247">
        <w:rPr>
          <w:rFonts w:ascii="Arial" w:hAnsi="Arial" w:cs="Arial"/>
          <w:color w:val="000000"/>
          <w:sz w:val="24"/>
          <w:szCs w:val="24"/>
        </w:rPr>
        <w:t>:</w:t>
      </w:r>
    </w:p>
    <w:p w14:paraId="2BB0F33F" w14:textId="77777777" w:rsidR="001A0247" w:rsidRDefault="001A0247" w:rsidP="001A0247">
      <w:pPr>
        <w:pStyle w:val="ListParagraph"/>
        <w:ind w:left="360"/>
        <w:rPr>
          <w:rFonts w:ascii="Arial" w:hAnsi="Arial" w:cs="Arial"/>
          <w:color w:val="000000"/>
          <w:sz w:val="24"/>
          <w:szCs w:val="24"/>
        </w:rPr>
      </w:pPr>
    </w:p>
    <w:p w14:paraId="545F9A3B" w14:textId="33AD5E4F" w:rsidR="00773ABD" w:rsidRPr="001A0247" w:rsidRDefault="001A0247" w:rsidP="001A0247">
      <w:pPr>
        <w:spacing w:after="0" w:line="240" w:lineRule="auto"/>
        <w:rPr>
          <w:rFonts w:ascii="Arial" w:hAnsi="Arial" w:cs="Arial"/>
          <w:color w:val="000000"/>
          <w:sz w:val="24"/>
          <w:szCs w:val="24"/>
          <w:u w:val="single"/>
        </w:rPr>
      </w:pPr>
      <w:r w:rsidRPr="001A0247">
        <w:rPr>
          <w:rFonts w:ascii="Arial" w:hAnsi="Arial" w:cs="Arial"/>
          <w:color w:val="000000"/>
          <w:sz w:val="24"/>
          <w:szCs w:val="24"/>
          <w:u w:val="single"/>
        </w:rPr>
        <w:t>C</w:t>
      </w:r>
      <w:r w:rsidR="00773ABD" w:rsidRPr="001A0247">
        <w:rPr>
          <w:rFonts w:ascii="Arial" w:hAnsi="Arial" w:cs="Arial"/>
          <w:color w:val="000000"/>
          <w:sz w:val="24"/>
          <w:szCs w:val="24"/>
          <w:u w:val="single"/>
        </w:rPr>
        <w:t>arbon emissions</w:t>
      </w:r>
    </w:p>
    <w:p w14:paraId="72ACB4BA" w14:textId="77777777" w:rsidR="00773ABD" w:rsidRPr="001A0247" w:rsidRDefault="00773ABD" w:rsidP="001A0247">
      <w:pPr>
        <w:spacing w:after="0" w:line="240" w:lineRule="auto"/>
        <w:rPr>
          <w:rFonts w:ascii="Arial" w:hAnsi="Arial" w:cs="Arial"/>
          <w:color w:val="000000"/>
          <w:sz w:val="24"/>
          <w:szCs w:val="24"/>
        </w:rPr>
      </w:pPr>
    </w:p>
    <w:p w14:paraId="669E47F7" w14:textId="488EBDE2" w:rsidR="00773ABD" w:rsidRPr="001A0247" w:rsidRDefault="00773ABD" w:rsidP="001A0247">
      <w:pPr>
        <w:pStyle w:val="ListParagraph"/>
        <w:numPr>
          <w:ilvl w:val="0"/>
          <w:numId w:val="5"/>
        </w:numPr>
        <w:spacing w:after="0" w:line="240" w:lineRule="auto"/>
        <w:ind w:left="360"/>
        <w:rPr>
          <w:rFonts w:ascii="Arial" w:hAnsi="Arial" w:cs="Arial"/>
          <w:color w:val="000000"/>
          <w:sz w:val="24"/>
          <w:szCs w:val="24"/>
        </w:rPr>
      </w:pPr>
      <w:r w:rsidRPr="001A0247">
        <w:rPr>
          <w:rFonts w:ascii="Arial" w:hAnsi="Arial" w:cs="Arial"/>
          <w:color w:val="000000"/>
          <w:sz w:val="24"/>
          <w:szCs w:val="24"/>
        </w:rPr>
        <w:t>Indirect land use change often isn’t accounted for (even for ‘sustainably sourced’ HVO) in the carbon calculations. A lot of the UCO is imported from SE Asia and Americas, where it is not a waste produc</w:t>
      </w:r>
      <w:r w:rsidR="0022656B" w:rsidRPr="001A0247">
        <w:rPr>
          <w:rFonts w:ascii="Arial" w:hAnsi="Arial" w:cs="Arial"/>
          <w:color w:val="000000"/>
          <w:sz w:val="24"/>
          <w:szCs w:val="24"/>
        </w:rPr>
        <w:t xml:space="preserve">t because it would otherwise be </w:t>
      </w:r>
      <w:r w:rsidRPr="001A0247">
        <w:rPr>
          <w:rFonts w:ascii="Arial" w:hAnsi="Arial" w:cs="Arial"/>
          <w:color w:val="000000"/>
          <w:sz w:val="24"/>
          <w:szCs w:val="24"/>
        </w:rPr>
        <w:t xml:space="preserve">used as an animal feed. The market for HVO is causing many farmers to replace UCO, which in turn is leading to the destruction of virgin forest to produce palm oil. </w:t>
      </w:r>
    </w:p>
    <w:p w14:paraId="613BCD6F" w14:textId="77777777" w:rsidR="00773ABD" w:rsidRPr="001A0247" w:rsidRDefault="00773ABD" w:rsidP="001A0247">
      <w:pPr>
        <w:spacing w:after="0" w:line="240" w:lineRule="auto"/>
        <w:rPr>
          <w:rFonts w:ascii="Arial" w:hAnsi="Arial" w:cs="Arial"/>
          <w:color w:val="000000"/>
          <w:sz w:val="24"/>
          <w:szCs w:val="24"/>
        </w:rPr>
      </w:pPr>
    </w:p>
    <w:p w14:paraId="4E44FB15" w14:textId="77777777" w:rsidR="00773ABD" w:rsidRPr="001A0247" w:rsidRDefault="00773ABD" w:rsidP="001A0247">
      <w:pPr>
        <w:pStyle w:val="ListParagraph"/>
        <w:numPr>
          <w:ilvl w:val="0"/>
          <w:numId w:val="5"/>
        </w:numPr>
        <w:spacing w:after="0" w:line="240" w:lineRule="auto"/>
        <w:ind w:left="360"/>
        <w:rPr>
          <w:rFonts w:ascii="Arial" w:hAnsi="Arial" w:cs="Arial"/>
          <w:color w:val="000000"/>
          <w:sz w:val="24"/>
          <w:szCs w:val="24"/>
        </w:rPr>
      </w:pPr>
      <w:r w:rsidRPr="001A0247">
        <w:rPr>
          <w:rFonts w:ascii="Arial" w:hAnsi="Arial" w:cs="Arial"/>
          <w:color w:val="000000"/>
          <w:sz w:val="24"/>
          <w:szCs w:val="24"/>
        </w:rPr>
        <w:t xml:space="preserve">The hydrogen used to treat HVO can be derived from fossil fuel sources and still be considered 100% renewable under the Renewable Transport Fuels Obligation. EST has concerns about the sustainability protection provided by the scheme. </w:t>
      </w:r>
    </w:p>
    <w:p w14:paraId="476133B6" w14:textId="77777777" w:rsidR="00773ABD" w:rsidRPr="001A0247" w:rsidRDefault="00773ABD" w:rsidP="001A0247">
      <w:pPr>
        <w:spacing w:after="0" w:line="240" w:lineRule="auto"/>
        <w:rPr>
          <w:rFonts w:ascii="Arial" w:hAnsi="Arial" w:cs="Arial"/>
          <w:color w:val="000000"/>
          <w:sz w:val="24"/>
          <w:szCs w:val="24"/>
        </w:rPr>
      </w:pPr>
    </w:p>
    <w:p w14:paraId="7709BA36" w14:textId="77777777" w:rsidR="00773ABD" w:rsidRPr="001A0247" w:rsidRDefault="00773ABD" w:rsidP="001A0247">
      <w:pPr>
        <w:pStyle w:val="ListParagraph"/>
        <w:numPr>
          <w:ilvl w:val="0"/>
          <w:numId w:val="5"/>
        </w:numPr>
        <w:spacing w:after="0" w:line="240" w:lineRule="auto"/>
        <w:ind w:left="360"/>
        <w:rPr>
          <w:rFonts w:ascii="Arial" w:hAnsi="Arial" w:cs="Arial"/>
          <w:color w:val="000000"/>
          <w:sz w:val="24"/>
          <w:szCs w:val="24"/>
        </w:rPr>
      </w:pPr>
      <w:r w:rsidRPr="001A0247">
        <w:rPr>
          <w:rFonts w:ascii="Arial" w:hAnsi="Arial" w:cs="Arial"/>
          <w:color w:val="000000"/>
          <w:sz w:val="24"/>
          <w:szCs w:val="24"/>
        </w:rPr>
        <w:lastRenderedPageBreak/>
        <w:t xml:space="preserve">The carbon emissions fluctuate year on year due to the source of HVO and the carbon factors used, sometimes by up to 14%. Means the future carbon saving claims may not be reliably counted on. </w:t>
      </w:r>
    </w:p>
    <w:p w14:paraId="4B399570" w14:textId="77777777" w:rsidR="00773ABD" w:rsidRPr="001A0247" w:rsidRDefault="00773ABD" w:rsidP="001A0247">
      <w:pPr>
        <w:spacing w:after="0" w:line="240" w:lineRule="auto"/>
        <w:rPr>
          <w:rFonts w:ascii="Arial" w:hAnsi="Arial" w:cs="Arial"/>
          <w:color w:val="000000"/>
          <w:sz w:val="24"/>
          <w:szCs w:val="24"/>
        </w:rPr>
      </w:pPr>
    </w:p>
    <w:p w14:paraId="0FB6F905" w14:textId="77777777" w:rsidR="00773ABD" w:rsidRPr="001A0247" w:rsidRDefault="00773ABD" w:rsidP="001A0247">
      <w:pPr>
        <w:spacing w:after="0" w:line="240" w:lineRule="auto"/>
        <w:rPr>
          <w:rFonts w:ascii="Arial" w:hAnsi="Arial" w:cs="Arial"/>
          <w:sz w:val="24"/>
          <w:szCs w:val="24"/>
          <w:u w:val="single"/>
        </w:rPr>
      </w:pPr>
      <w:r w:rsidRPr="001A0247">
        <w:rPr>
          <w:rFonts w:ascii="Arial" w:hAnsi="Arial" w:cs="Arial"/>
          <w:color w:val="000000"/>
          <w:sz w:val="24"/>
          <w:szCs w:val="24"/>
          <w:u w:val="single"/>
        </w:rPr>
        <w:t>Cost</w:t>
      </w:r>
    </w:p>
    <w:p w14:paraId="797BF70D" w14:textId="77777777" w:rsidR="00773ABD" w:rsidRPr="001A0247" w:rsidRDefault="00773ABD" w:rsidP="001A0247">
      <w:pPr>
        <w:spacing w:after="0" w:line="240" w:lineRule="auto"/>
        <w:rPr>
          <w:rFonts w:ascii="Arial" w:hAnsi="Arial" w:cs="Arial"/>
          <w:color w:val="000000"/>
          <w:sz w:val="24"/>
          <w:szCs w:val="24"/>
        </w:rPr>
      </w:pPr>
    </w:p>
    <w:p w14:paraId="23C19D71" w14:textId="0E68C1BF" w:rsidR="00773ABD" w:rsidRPr="001A0247" w:rsidRDefault="00773ABD" w:rsidP="001A0247">
      <w:pPr>
        <w:pStyle w:val="ListParagraph"/>
        <w:numPr>
          <w:ilvl w:val="0"/>
          <w:numId w:val="5"/>
        </w:numPr>
        <w:spacing w:after="0" w:line="240" w:lineRule="auto"/>
        <w:ind w:left="360"/>
        <w:rPr>
          <w:rFonts w:ascii="Arial" w:hAnsi="Arial" w:cs="Arial"/>
          <w:color w:val="000000"/>
          <w:sz w:val="24"/>
          <w:szCs w:val="24"/>
        </w:rPr>
      </w:pPr>
      <w:r w:rsidRPr="001A0247">
        <w:rPr>
          <w:rFonts w:ascii="Arial" w:hAnsi="Arial" w:cs="Arial"/>
          <w:color w:val="000000"/>
          <w:sz w:val="24"/>
          <w:szCs w:val="24"/>
        </w:rPr>
        <w:t>The HVO price is linked to the global food market. Recent shocks could mean the cost of HVO fuels likely to increase</w:t>
      </w:r>
      <w:r w:rsidR="0022656B" w:rsidRPr="001A0247">
        <w:rPr>
          <w:rFonts w:ascii="Arial" w:hAnsi="Arial" w:cs="Arial"/>
          <w:color w:val="000000"/>
          <w:sz w:val="24"/>
          <w:szCs w:val="24"/>
        </w:rPr>
        <w:t>.</w:t>
      </w:r>
    </w:p>
    <w:p w14:paraId="63DD7BC6" w14:textId="77777777" w:rsidR="0022656B" w:rsidRPr="001A0247" w:rsidRDefault="0022656B" w:rsidP="001A0247">
      <w:pPr>
        <w:spacing w:after="0" w:line="240" w:lineRule="auto"/>
        <w:rPr>
          <w:rFonts w:ascii="Arial" w:hAnsi="Arial" w:cs="Arial"/>
          <w:sz w:val="24"/>
          <w:szCs w:val="24"/>
        </w:rPr>
      </w:pPr>
    </w:p>
    <w:p w14:paraId="06A0F4E2" w14:textId="77777777" w:rsidR="00773ABD" w:rsidRPr="001A0247" w:rsidRDefault="00773ABD" w:rsidP="001A0247">
      <w:pPr>
        <w:rPr>
          <w:rFonts w:ascii="Arial" w:hAnsi="Arial" w:cs="Arial"/>
          <w:sz w:val="24"/>
          <w:szCs w:val="24"/>
          <w:u w:val="single"/>
        </w:rPr>
      </w:pPr>
      <w:r w:rsidRPr="001A0247">
        <w:rPr>
          <w:rFonts w:ascii="Arial" w:hAnsi="Arial" w:cs="Arial"/>
          <w:sz w:val="24"/>
          <w:szCs w:val="24"/>
          <w:u w:val="single"/>
        </w:rPr>
        <w:t xml:space="preserve">Air quality </w:t>
      </w:r>
    </w:p>
    <w:p w14:paraId="67DF4682" w14:textId="77777777" w:rsidR="00773ABD" w:rsidRPr="001A0247" w:rsidRDefault="00773ABD"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There is mixed evidence on the impact on air quality, with no guarantee that reported reductions in NOx will be achieved. Much depends on the engine injection control and the fuel quality (HVO blend). </w:t>
      </w:r>
    </w:p>
    <w:p w14:paraId="7BA0E335" w14:textId="77777777" w:rsidR="00773ABD" w:rsidRPr="001A0247" w:rsidRDefault="00773ABD" w:rsidP="001A0247">
      <w:pPr>
        <w:rPr>
          <w:rFonts w:ascii="Arial" w:hAnsi="Arial" w:cs="Arial"/>
          <w:b/>
          <w:sz w:val="24"/>
          <w:szCs w:val="24"/>
        </w:rPr>
      </w:pPr>
      <w:r w:rsidRPr="001A0247">
        <w:rPr>
          <w:rFonts w:ascii="Arial" w:hAnsi="Arial" w:cs="Arial"/>
          <w:b/>
          <w:sz w:val="24"/>
          <w:szCs w:val="24"/>
        </w:rPr>
        <w:t xml:space="preserve">Advice from Council’s Scientific Advisor, Professor Nick Eyre: </w:t>
      </w:r>
    </w:p>
    <w:p w14:paraId="66395D5D" w14:textId="77777777" w:rsidR="00773ABD" w:rsidRPr="001A0247" w:rsidRDefault="00773ABD" w:rsidP="001A0247">
      <w:pPr>
        <w:pStyle w:val="ListParagraph"/>
        <w:numPr>
          <w:ilvl w:val="0"/>
          <w:numId w:val="5"/>
        </w:numPr>
        <w:ind w:left="360"/>
        <w:rPr>
          <w:rFonts w:ascii="Arial" w:hAnsi="Arial" w:cs="Arial"/>
          <w:sz w:val="24"/>
          <w:szCs w:val="24"/>
        </w:rPr>
      </w:pPr>
      <w:r w:rsidRPr="001A0247">
        <w:rPr>
          <w:rFonts w:ascii="Arial" w:hAnsi="Arial" w:cs="Arial"/>
          <w:sz w:val="24"/>
          <w:szCs w:val="24"/>
        </w:rPr>
        <w:t>We sought input from the Council’s Scientific Adviser. He highlighted the following concerns with HVO:</w:t>
      </w:r>
    </w:p>
    <w:p w14:paraId="41BFB564" w14:textId="77777777" w:rsidR="00773ABD" w:rsidRPr="001A0247" w:rsidRDefault="00773ABD" w:rsidP="001A0247">
      <w:pPr>
        <w:numPr>
          <w:ilvl w:val="1"/>
          <w:numId w:val="5"/>
        </w:numPr>
        <w:spacing w:after="0" w:line="240" w:lineRule="auto"/>
        <w:rPr>
          <w:rFonts w:ascii="Arial" w:eastAsia="Times New Roman" w:hAnsi="Arial" w:cs="Arial"/>
          <w:i/>
          <w:sz w:val="24"/>
          <w:szCs w:val="24"/>
        </w:rPr>
      </w:pPr>
      <w:r w:rsidRPr="001A0247">
        <w:rPr>
          <w:rFonts w:ascii="Arial" w:eastAsia="Times New Roman" w:hAnsi="Arial" w:cs="Arial"/>
          <w:i/>
          <w:sz w:val="24"/>
          <w:szCs w:val="24"/>
        </w:rPr>
        <w:t>It’s essentially a ‘first generation - i.e. food-crop based - biofuel, which have relatively high carbon emissions in production</w:t>
      </w:r>
    </w:p>
    <w:p w14:paraId="729E99C9" w14:textId="77777777" w:rsidR="00773ABD" w:rsidRPr="001A0247" w:rsidRDefault="00773ABD" w:rsidP="001A0247">
      <w:pPr>
        <w:numPr>
          <w:ilvl w:val="1"/>
          <w:numId w:val="5"/>
        </w:numPr>
        <w:spacing w:after="0" w:line="240" w:lineRule="auto"/>
        <w:rPr>
          <w:rFonts w:ascii="Arial" w:eastAsia="Times New Roman" w:hAnsi="Arial" w:cs="Arial"/>
          <w:i/>
          <w:sz w:val="24"/>
          <w:szCs w:val="24"/>
        </w:rPr>
      </w:pPr>
      <w:r w:rsidRPr="001A0247">
        <w:rPr>
          <w:rFonts w:ascii="Arial" w:eastAsia="Times New Roman" w:hAnsi="Arial" w:cs="Arial"/>
          <w:i/>
          <w:sz w:val="24"/>
          <w:szCs w:val="24"/>
        </w:rPr>
        <w:t>The production process involves hydrogen, which is currently produced from fossil fuels  </w:t>
      </w:r>
    </w:p>
    <w:p w14:paraId="497EB9C4" w14:textId="77777777" w:rsidR="00773ABD" w:rsidRPr="001A0247" w:rsidRDefault="00773ABD" w:rsidP="001A0247">
      <w:pPr>
        <w:numPr>
          <w:ilvl w:val="1"/>
          <w:numId w:val="5"/>
        </w:numPr>
        <w:spacing w:after="0" w:line="240" w:lineRule="auto"/>
        <w:rPr>
          <w:rFonts w:ascii="Arial" w:eastAsia="Times New Roman" w:hAnsi="Arial" w:cs="Arial"/>
          <w:i/>
          <w:sz w:val="24"/>
          <w:szCs w:val="24"/>
        </w:rPr>
      </w:pPr>
      <w:r w:rsidRPr="001A0247">
        <w:rPr>
          <w:rFonts w:ascii="Arial" w:eastAsia="Times New Roman" w:hAnsi="Arial" w:cs="Arial"/>
          <w:i/>
          <w:sz w:val="24"/>
          <w:szCs w:val="24"/>
        </w:rPr>
        <w:t>There are serious doubts about the extent to which is genuinely a waste</w:t>
      </w:r>
    </w:p>
    <w:p w14:paraId="1DA976E3" w14:textId="77777777" w:rsidR="00773ABD" w:rsidRPr="001A0247" w:rsidRDefault="00773ABD" w:rsidP="001A0247">
      <w:pPr>
        <w:numPr>
          <w:ilvl w:val="1"/>
          <w:numId w:val="5"/>
        </w:numPr>
        <w:spacing w:after="0" w:line="240" w:lineRule="auto"/>
        <w:rPr>
          <w:rFonts w:ascii="Arial" w:eastAsia="Times New Roman" w:hAnsi="Arial" w:cs="Arial"/>
          <w:i/>
          <w:sz w:val="24"/>
          <w:szCs w:val="24"/>
        </w:rPr>
      </w:pPr>
      <w:r w:rsidRPr="001A0247">
        <w:rPr>
          <w:rFonts w:ascii="Arial" w:eastAsia="Times New Roman" w:hAnsi="Arial" w:cs="Arial"/>
          <w:i/>
          <w:sz w:val="24"/>
          <w:szCs w:val="24"/>
        </w:rPr>
        <w:t xml:space="preserve">It’s at best a niche market product – there is no realistic to it being a </w:t>
      </w:r>
      <w:proofErr w:type="spellStart"/>
      <w:r w:rsidRPr="001A0247">
        <w:rPr>
          <w:rFonts w:ascii="Arial" w:eastAsia="Times New Roman" w:hAnsi="Arial" w:cs="Arial"/>
          <w:i/>
          <w:sz w:val="24"/>
          <w:szCs w:val="24"/>
        </w:rPr>
        <w:t>generalisable</w:t>
      </w:r>
      <w:proofErr w:type="spellEnd"/>
      <w:r w:rsidRPr="001A0247">
        <w:rPr>
          <w:rFonts w:ascii="Arial" w:eastAsia="Times New Roman" w:hAnsi="Arial" w:cs="Arial"/>
          <w:i/>
          <w:sz w:val="24"/>
          <w:szCs w:val="24"/>
        </w:rPr>
        <w:t xml:space="preserve"> solution for heavy vehicles</w:t>
      </w:r>
    </w:p>
    <w:p w14:paraId="09429E69" w14:textId="77777777" w:rsidR="00773ABD" w:rsidRPr="001A0247" w:rsidRDefault="00773ABD" w:rsidP="001A0247">
      <w:pPr>
        <w:numPr>
          <w:ilvl w:val="1"/>
          <w:numId w:val="5"/>
        </w:numPr>
        <w:spacing w:after="0" w:line="240" w:lineRule="auto"/>
        <w:rPr>
          <w:rFonts w:ascii="Arial" w:eastAsia="Times New Roman" w:hAnsi="Arial" w:cs="Arial"/>
          <w:i/>
          <w:sz w:val="24"/>
          <w:szCs w:val="24"/>
        </w:rPr>
      </w:pPr>
      <w:r w:rsidRPr="001A0247">
        <w:rPr>
          <w:rFonts w:ascii="Arial" w:eastAsia="Times New Roman" w:hAnsi="Arial" w:cs="Arial"/>
          <w:i/>
          <w:sz w:val="24"/>
          <w:szCs w:val="24"/>
        </w:rPr>
        <w:t>Any association with SE Asian palm oil has high risks of links to deforestation, and therefore potential reputational risks</w:t>
      </w:r>
    </w:p>
    <w:p w14:paraId="002450E0" w14:textId="77777777" w:rsidR="0022656B" w:rsidRPr="001A0247" w:rsidRDefault="0022656B" w:rsidP="001A0247">
      <w:pPr>
        <w:rPr>
          <w:rFonts w:ascii="Arial" w:hAnsi="Arial" w:cs="Arial"/>
          <w:sz w:val="24"/>
          <w:szCs w:val="24"/>
        </w:rPr>
      </w:pPr>
    </w:p>
    <w:p w14:paraId="7B3AA116" w14:textId="2C993792" w:rsidR="002D590E" w:rsidRPr="001A0247" w:rsidRDefault="00E22D2C" w:rsidP="001A0247">
      <w:pPr>
        <w:rPr>
          <w:rFonts w:ascii="Arial" w:hAnsi="Arial" w:cs="Arial"/>
          <w:b/>
          <w:bCs/>
          <w:sz w:val="24"/>
          <w:szCs w:val="24"/>
          <w:u w:val="single"/>
        </w:rPr>
      </w:pPr>
      <w:r w:rsidRPr="001A0247">
        <w:rPr>
          <w:rFonts w:ascii="Arial" w:hAnsi="Arial" w:cs="Arial"/>
          <w:b/>
          <w:bCs/>
          <w:sz w:val="24"/>
          <w:szCs w:val="24"/>
          <w:u w:val="single"/>
        </w:rPr>
        <w:t>Next Steps</w:t>
      </w:r>
    </w:p>
    <w:p w14:paraId="5A77B5D1" w14:textId="77777777" w:rsidR="001A0247" w:rsidRDefault="00E22D2C"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Currently, the Council has purchased fleet vehicles on behalf ODS, on which it levies a charge. </w:t>
      </w:r>
      <w:r w:rsidR="0069019B" w:rsidRPr="001A0247">
        <w:rPr>
          <w:rFonts w:ascii="Arial" w:hAnsi="Arial" w:cs="Arial"/>
          <w:sz w:val="24"/>
          <w:szCs w:val="24"/>
        </w:rPr>
        <w:t xml:space="preserve">ODS </w:t>
      </w:r>
      <w:r w:rsidRPr="001A0247">
        <w:rPr>
          <w:rFonts w:ascii="Arial" w:hAnsi="Arial" w:cs="Arial"/>
          <w:sz w:val="24"/>
          <w:szCs w:val="24"/>
        </w:rPr>
        <w:t>is</w:t>
      </w:r>
      <w:r w:rsidR="0069019B" w:rsidRPr="001A0247">
        <w:rPr>
          <w:rFonts w:ascii="Arial" w:hAnsi="Arial" w:cs="Arial"/>
          <w:sz w:val="24"/>
          <w:szCs w:val="24"/>
        </w:rPr>
        <w:t xml:space="preserve"> </w:t>
      </w:r>
      <w:r w:rsidRPr="001A0247">
        <w:rPr>
          <w:rFonts w:ascii="Arial" w:hAnsi="Arial" w:cs="Arial"/>
          <w:sz w:val="24"/>
          <w:szCs w:val="24"/>
        </w:rPr>
        <w:t>in the process of carrying out a</w:t>
      </w:r>
      <w:r w:rsidR="0069019B" w:rsidRPr="001A0247">
        <w:rPr>
          <w:rFonts w:ascii="Arial" w:hAnsi="Arial" w:cs="Arial"/>
          <w:sz w:val="24"/>
          <w:szCs w:val="24"/>
        </w:rPr>
        <w:t xml:space="preserve"> </w:t>
      </w:r>
      <w:r w:rsidR="000A6418" w:rsidRPr="001A0247">
        <w:rPr>
          <w:rFonts w:ascii="Arial" w:hAnsi="Arial" w:cs="Arial"/>
          <w:sz w:val="24"/>
          <w:szCs w:val="24"/>
        </w:rPr>
        <w:t>detailed market pricing exercise</w:t>
      </w:r>
      <w:r w:rsidRPr="001A0247">
        <w:rPr>
          <w:rFonts w:ascii="Arial" w:hAnsi="Arial" w:cs="Arial"/>
          <w:sz w:val="24"/>
          <w:szCs w:val="24"/>
        </w:rPr>
        <w:t xml:space="preserve"> for leasing fleet vehicles, which might increase flexibility around continued transition to EVs. </w:t>
      </w:r>
      <w:r w:rsidR="00EF0028" w:rsidRPr="001A0247">
        <w:rPr>
          <w:rFonts w:ascii="Arial" w:hAnsi="Arial" w:cs="Arial"/>
          <w:sz w:val="24"/>
          <w:szCs w:val="24"/>
        </w:rPr>
        <w:t xml:space="preserve">ODS </w:t>
      </w:r>
      <w:r w:rsidRPr="001A0247">
        <w:rPr>
          <w:rFonts w:ascii="Arial" w:hAnsi="Arial" w:cs="Arial"/>
          <w:sz w:val="24"/>
          <w:szCs w:val="24"/>
        </w:rPr>
        <w:t>is also seeking</w:t>
      </w:r>
      <w:r w:rsidR="00EF0028" w:rsidRPr="001A0247">
        <w:rPr>
          <w:rFonts w:ascii="Arial" w:hAnsi="Arial" w:cs="Arial"/>
          <w:sz w:val="24"/>
          <w:szCs w:val="24"/>
        </w:rPr>
        <w:t xml:space="preserve"> to mitigate the cost of the fleet </w:t>
      </w:r>
      <w:r w:rsidR="00402F8B" w:rsidRPr="001A0247">
        <w:rPr>
          <w:rFonts w:ascii="Arial" w:hAnsi="Arial" w:cs="Arial"/>
          <w:sz w:val="24"/>
          <w:szCs w:val="24"/>
        </w:rPr>
        <w:t>through size reduction (vehicl</w:t>
      </w:r>
      <w:r w:rsidR="00DE0A2D" w:rsidRPr="001A0247">
        <w:rPr>
          <w:rFonts w:ascii="Arial" w:hAnsi="Arial" w:cs="Arial"/>
          <w:sz w:val="24"/>
          <w:szCs w:val="24"/>
        </w:rPr>
        <w:t>e sizes and overall fleet size), while managing</w:t>
      </w:r>
      <w:r w:rsidR="00402F8B" w:rsidRPr="001A0247">
        <w:rPr>
          <w:rFonts w:ascii="Arial" w:hAnsi="Arial" w:cs="Arial"/>
          <w:sz w:val="24"/>
          <w:szCs w:val="24"/>
        </w:rPr>
        <w:t xml:space="preserve"> operational risks in providing enough vehicles to </w:t>
      </w:r>
      <w:r w:rsidR="00DE0A2D" w:rsidRPr="001A0247">
        <w:rPr>
          <w:rFonts w:ascii="Arial" w:hAnsi="Arial" w:cs="Arial"/>
          <w:sz w:val="24"/>
          <w:szCs w:val="24"/>
        </w:rPr>
        <w:t xml:space="preserve">meet future need and to </w:t>
      </w:r>
      <w:r w:rsidR="00402F8B" w:rsidRPr="001A0247">
        <w:rPr>
          <w:rFonts w:ascii="Arial" w:hAnsi="Arial" w:cs="Arial"/>
          <w:sz w:val="24"/>
          <w:szCs w:val="24"/>
        </w:rPr>
        <w:t>compensate for downtime in light of supply chain lead times.</w:t>
      </w:r>
    </w:p>
    <w:p w14:paraId="5C70BCE2" w14:textId="3D86F682" w:rsidR="00402F8B" w:rsidRPr="001A0247" w:rsidRDefault="00A233D7" w:rsidP="001A0247">
      <w:pPr>
        <w:pStyle w:val="ListParagraph"/>
        <w:ind w:left="360"/>
        <w:rPr>
          <w:rFonts w:ascii="Arial" w:hAnsi="Arial" w:cs="Arial"/>
          <w:sz w:val="24"/>
          <w:szCs w:val="24"/>
        </w:rPr>
      </w:pPr>
      <w:r w:rsidRPr="001A0247">
        <w:rPr>
          <w:rFonts w:ascii="Arial" w:hAnsi="Arial" w:cs="Arial"/>
          <w:sz w:val="24"/>
          <w:szCs w:val="24"/>
        </w:rPr>
        <w:t xml:space="preserve"> </w:t>
      </w:r>
    </w:p>
    <w:p w14:paraId="1A1D4461" w14:textId="2A6C58CA" w:rsidR="006E140D" w:rsidRDefault="00DE0A2D" w:rsidP="001A0247">
      <w:pPr>
        <w:pStyle w:val="ListParagraph"/>
        <w:numPr>
          <w:ilvl w:val="0"/>
          <w:numId w:val="5"/>
        </w:numPr>
        <w:ind w:left="360"/>
        <w:rPr>
          <w:rFonts w:ascii="Arial" w:hAnsi="Arial" w:cs="Arial"/>
          <w:sz w:val="24"/>
          <w:szCs w:val="24"/>
        </w:rPr>
      </w:pPr>
      <w:r w:rsidRPr="001A0247">
        <w:rPr>
          <w:rFonts w:ascii="Arial" w:hAnsi="Arial" w:cs="Arial"/>
          <w:sz w:val="24"/>
          <w:szCs w:val="24"/>
        </w:rPr>
        <w:t>However it should be noted t</w:t>
      </w:r>
      <w:r w:rsidR="006E140D" w:rsidRPr="001A0247">
        <w:rPr>
          <w:rFonts w:ascii="Arial" w:hAnsi="Arial" w:cs="Arial"/>
          <w:sz w:val="24"/>
          <w:szCs w:val="24"/>
        </w:rPr>
        <w:t xml:space="preserve">he vehicle production industry has been beset by continued problems (chip shortages, </w:t>
      </w:r>
      <w:r w:rsidR="00CB34C5" w:rsidRPr="001A0247">
        <w:rPr>
          <w:rFonts w:ascii="Arial" w:hAnsi="Arial" w:cs="Arial"/>
          <w:sz w:val="24"/>
          <w:szCs w:val="24"/>
        </w:rPr>
        <w:t xml:space="preserve">the continued knock on of </w:t>
      </w:r>
      <w:r w:rsidR="006E140D" w:rsidRPr="001A0247">
        <w:rPr>
          <w:rFonts w:ascii="Arial" w:hAnsi="Arial" w:cs="Arial"/>
          <w:sz w:val="24"/>
          <w:szCs w:val="24"/>
        </w:rPr>
        <w:t>factory closures during COVID, raw materials delays) which has extended lead times and increased prices</w:t>
      </w:r>
      <w:r w:rsidRPr="001A0247">
        <w:rPr>
          <w:rFonts w:ascii="Arial" w:hAnsi="Arial" w:cs="Arial"/>
          <w:sz w:val="24"/>
          <w:szCs w:val="24"/>
        </w:rPr>
        <w:t xml:space="preserve"> in the leasing market as well as in purchasing vehicles. </w:t>
      </w:r>
    </w:p>
    <w:p w14:paraId="3B8EEC8D" w14:textId="77777777" w:rsidR="001A0247" w:rsidRPr="001A0247" w:rsidRDefault="001A0247" w:rsidP="001A0247">
      <w:pPr>
        <w:pStyle w:val="ListParagraph"/>
        <w:rPr>
          <w:rFonts w:ascii="Arial" w:hAnsi="Arial" w:cs="Arial"/>
          <w:sz w:val="24"/>
          <w:szCs w:val="24"/>
        </w:rPr>
      </w:pPr>
    </w:p>
    <w:p w14:paraId="7B8FE854" w14:textId="5369F942" w:rsidR="00DE0A2D" w:rsidRDefault="00DE0A2D" w:rsidP="001A0247">
      <w:pPr>
        <w:pStyle w:val="ListParagraph"/>
        <w:numPr>
          <w:ilvl w:val="0"/>
          <w:numId w:val="5"/>
        </w:numPr>
        <w:ind w:left="360"/>
        <w:rPr>
          <w:rFonts w:ascii="Arial" w:hAnsi="Arial" w:cs="Arial"/>
          <w:sz w:val="24"/>
          <w:szCs w:val="24"/>
        </w:rPr>
      </w:pPr>
      <w:r w:rsidRPr="001A0247">
        <w:rPr>
          <w:rFonts w:ascii="Arial" w:hAnsi="Arial" w:cs="Arial"/>
          <w:sz w:val="24"/>
          <w:szCs w:val="24"/>
        </w:rPr>
        <w:t>ODS will continue to procure LGV EVs as appropriate to meet replacement needs and within the constraints of charging infrastructure it can utilise. Therefore, it is expected the overall proportion of EVs within the ODS/Council fleet will continue to expand.</w:t>
      </w:r>
    </w:p>
    <w:p w14:paraId="76F49512" w14:textId="77777777" w:rsidR="001A0247" w:rsidRPr="001A0247" w:rsidRDefault="001A0247" w:rsidP="001A0247">
      <w:pPr>
        <w:pStyle w:val="ListParagraph"/>
        <w:rPr>
          <w:rFonts w:ascii="Arial" w:hAnsi="Arial" w:cs="Arial"/>
          <w:sz w:val="24"/>
          <w:szCs w:val="24"/>
        </w:rPr>
      </w:pPr>
    </w:p>
    <w:p w14:paraId="238C2D20" w14:textId="500B2EA6" w:rsidR="00DE0A2D" w:rsidRDefault="00F2777B" w:rsidP="001A0247">
      <w:pPr>
        <w:pStyle w:val="ListParagraph"/>
        <w:numPr>
          <w:ilvl w:val="0"/>
          <w:numId w:val="5"/>
        </w:numPr>
        <w:ind w:left="360"/>
        <w:rPr>
          <w:rFonts w:ascii="Arial" w:hAnsi="Arial" w:cs="Arial"/>
          <w:sz w:val="24"/>
          <w:szCs w:val="24"/>
        </w:rPr>
      </w:pPr>
      <w:r w:rsidRPr="001A0247">
        <w:rPr>
          <w:rFonts w:ascii="Arial" w:hAnsi="Arial" w:cs="Arial"/>
          <w:sz w:val="24"/>
          <w:szCs w:val="24"/>
        </w:rPr>
        <w:lastRenderedPageBreak/>
        <w:t xml:space="preserve">The Pathways to a Zero Carbon Oxfordshire programme, being developed under the Future Oxfordshire Partnership and in which Oxford City Council is participating, will look at what hydrogen infrastructure may be needed to future proof HGV requirements. </w:t>
      </w:r>
      <w:r w:rsidR="00DE0A2D" w:rsidRPr="001A0247">
        <w:rPr>
          <w:rFonts w:ascii="Arial" w:hAnsi="Arial" w:cs="Arial"/>
          <w:sz w:val="24"/>
          <w:szCs w:val="24"/>
        </w:rPr>
        <w:t>Where opportunities arise, ODS will also trial the use of hydrogen vehicles.</w:t>
      </w:r>
    </w:p>
    <w:p w14:paraId="5991E5F6" w14:textId="77777777" w:rsidR="001A0247" w:rsidRPr="001A0247" w:rsidRDefault="001A0247" w:rsidP="001A0247">
      <w:pPr>
        <w:pStyle w:val="ListParagraph"/>
        <w:rPr>
          <w:rFonts w:ascii="Arial" w:hAnsi="Arial" w:cs="Arial"/>
          <w:sz w:val="24"/>
          <w:szCs w:val="24"/>
        </w:rPr>
      </w:pPr>
    </w:p>
    <w:p w14:paraId="6FD50E0C" w14:textId="4FA338EA" w:rsidR="008C0F33" w:rsidRPr="001A0247" w:rsidRDefault="00F2777B" w:rsidP="001A0247">
      <w:pPr>
        <w:rPr>
          <w:rFonts w:ascii="Arial" w:hAnsi="Arial" w:cs="Arial"/>
          <w:b/>
          <w:bCs/>
          <w:sz w:val="24"/>
          <w:szCs w:val="24"/>
          <w:u w:val="single"/>
        </w:rPr>
      </w:pPr>
      <w:r w:rsidRPr="001A0247">
        <w:rPr>
          <w:rFonts w:ascii="Arial" w:hAnsi="Arial" w:cs="Arial"/>
          <w:b/>
          <w:bCs/>
          <w:sz w:val="24"/>
          <w:szCs w:val="24"/>
          <w:u w:val="single"/>
        </w:rPr>
        <w:t>Conclusion</w:t>
      </w:r>
    </w:p>
    <w:p w14:paraId="5809643B" w14:textId="7D3FD13D" w:rsidR="00F2777B" w:rsidRDefault="00F2777B"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Given the limited availability of EVs to meet all ODS/Council fleet needs, the uncertainty over whether or not hydrogen or EV will become the optimum technology for HGVs and the current constraints on available EV charging infrastructure, officers and portfolio holders agree it would not make sense to set a new interim fleet EV target between now and 2030.  That position may </w:t>
      </w:r>
      <w:r w:rsidR="001A0247" w:rsidRPr="001A0247">
        <w:rPr>
          <w:rFonts w:ascii="Arial" w:hAnsi="Arial" w:cs="Arial"/>
          <w:sz w:val="24"/>
          <w:szCs w:val="24"/>
        </w:rPr>
        <w:t xml:space="preserve">well </w:t>
      </w:r>
      <w:r w:rsidRPr="001A0247">
        <w:rPr>
          <w:rFonts w:ascii="Arial" w:hAnsi="Arial" w:cs="Arial"/>
          <w:sz w:val="24"/>
          <w:szCs w:val="24"/>
        </w:rPr>
        <w:t>change as technologies and markets develop</w:t>
      </w:r>
      <w:r w:rsidR="001A0247" w:rsidRPr="001A0247">
        <w:rPr>
          <w:rFonts w:ascii="Arial" w:hAnsi="Arial" w:cs="Arial"/>
          <w:sz w:val="24"/>
          <w:szCs w:val="24"/>
        </w:rPr>
        <w:t xml:space="preserve"> and as Oxford’s EV infrastructure network expands.</w:t>
      </w:r>
    </w:p>
    <w:p w14:paraId="4AD5643D" w14:textId="77777777" w:rsidR="001A0247" w:rsidRPr="001A0247" w:rsidRDefault="001A0247" w:rsidP="001A0247">
      <w:pPr>
        <w:pStyle w:val="ListParagraph"/>
        <w:ind w:left="360"/>
        <w:rPr>
          <w:rFonts w:ascii="Arial" w:hAnsi="Arial" w:cs="Arial"/>
          <w:sz w:val="24"/>
          <w:szCs w:val="24"/>
        </w:rPr>
      </w:pPr>
    </w:p>
    <w:p w14:paraId="144B181C" w14:textId="095BA7B8" w:rsidR="001A0247" w:rsidRDefault="001A0247"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At the same time it is expected that the proportion of EVs in the fleet will nevertheless continue to increase and it is not proposed to change the longer term target of a net zero fleet by 2030. </w:t>
      </w:r>
    </w:p>
    <w:p w14:paraId="1DDB7EA6" w14:textId="77777777" w:rsidR="001A0247" w:rsidRPr="001A0247" w:rsidRDefault="001A0247" w:rsidP="001A0247">
      <w:pPr>
        <w:pStyle w:val="ListParagraph"/>
        <w:rPr>
          <w:rFonts w:ascii="Arial" w:hAnsi="Arial" w:cs="Arial"/>
          <w:sz w:val="24"/>
          <w:szCs w:val="24"/>
        </w:rPr>
      </w:pPr>
    </w:p>
    <w:p w14:paraId="1E226A89" w14:textId="6986FD32" w:rsidR="00DE0A2D" w:rsidRPr="001A0247" w:rsidRDefault="00DE0A2D" w:rsidP="001A0247">
      <w:pPr>
        <w:pStyle w:val="ListParagraph"/>
        <w:numPr>
          <w:ilvl w:val="0"/>
          <w:numId w:val="5"/>
        </w:numPr>
        <w:ind w:left="360"/>
        <w:rPr>
          <w:rFonts w:ascii="Arial" w:hAnsi="Arial" w:cs="Arial"/>
          <w:sz w:val="24"/>
          <w:szCs w:val="24"/>
        </w:rPr>
      </w:pPr>
      <w:r w:rsidRPr="001A0247">
        <w:rPr>
          <w:rFonts w:ascii="Arial" w:hAnsi="Arial" w:cs="Arial"/>
          <w:sz w:val="24"/>
          <w:szCs w:val="24"/>
        </w:rPr>
        <w:t xml:space="preserve">HVO </w:t>
      </w:r>
      <w:r w:rsidR="001A0247" w:rsidRPr="001A0247">
        <w:rPr>
          <w:rFonts w:ascii="Arial" w:hAnsi="Arial" w:cs="Arial"/>
          <w:sz w:val="24"/>
          <w:szCs w:val="24"/>
        </w:rPr>
        <w:t xml:space="preserve">has been considered as a ‘stepping stone’ fuel to </w:t>
      </w:r>
      <w:r w:rsidRPr="001A0247">
        <w:rPr>
          <w:rFonts w:ascii="Arial" w:hAnsi="Arial" w:cs="Arial"/>
          <w:sz w:val="24"/>
          <w:szCs w:val="24"/>
        </w:rPr>
        <w:t xml:space="preserve">reduce fleet emissions however </w:t>
      </w:r>
      <w:r w:rsidR="001A0247" w:rsidRPr="001A0247">
        <w:rPr>
          <w:rFonts w:ascii="Arial" w:hAnsi="Arial" w:cs="Arial"/>
          <w:sz w:val="24"/>
          <w:szCs w:val="24"/>
        </w:rPr>
        <w:t xml:space="preserve">the </w:t>
      </w:r>
      <w:r w:rsidRPr="001A0247">
        <w:rPr>
          <w:rFonts w:ascii="Arial" w:hAnsi="Arial" w:cs="Arial"/>
          <w:sz w:val="24"/>
          <w:szCs w:val="24"/>
        </w:rPr>
        <w:t xml:space="preserve">Council Officers and Portfolio Holders have </w:t>
      </w:r>
      <w:r w:rsidR="001A0247" w:rsidRPr="001A0247">
        <w:rPr>
          <w:rFonts w:ascii="Arial" w:hAnsi="Arial" w:cs="Arial"/>
          <w:sz w:val="24"/>
          <w:szCs w:val="24"/>
        </w:rPr>
        <w:t xml:space="preserve">accepted the sustainability concerns raised by the Council’s Scientific Adviser and have </w:t>
      </w:r>
      <w:r w:rsidRPr="001A0247">
        <w:rPr>
          <w:rFonts w:ascii="Arial" w:hAnsi="Arial" w:cs="Arial"/>
          <w:sz w:val="24"/>
          <w:szCs w:val="24"/>
        </w:rPr>
        <w:t>rejected this as a potential strategy</w:t>
      </w:r>
      <w:r w:rsidR="001A0247" w:rsidRPr="001A0247">
        <w:rPr>
          <w:rFonts w:ascii="Arial" w:hAnsi="Arial" w:cs="Arial"/>
          <w:sz w:val="24"/>
          <w:szCs w:val="24"/>
        </w:rPr>
        <w:t xml:space="preserve"> for the time being</w:t>
      </w:r>
      <w:r w:rsidRPr="001A0247">
        <w:rPr>
          <w:rFonts w:ascii="Arial" w:hAnsi="Arial" w:cs="Arial"/>
          <w:sz w:val="24"/>
          <w:szCs w:val="24"/>
        </w:rPr>
        <w:t xml:space="preserve">. </w:t>
      </w:r>
      <w:bookmarkStart w:id="0" w:name="_GoBack"/>
      <w:bookmarkEnd w:id="0"/>
    </w:p>
    <w:sectPr w:rsidR="00DE0A2D" w:rsidRPr="001A02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126D" w14:textId="77777777" w:rsidR="00317B7F" w:rsidRDefault="00317B7F" w:rsidP="00B8228F">
      <w:pPr>
        <w:spacing w:after="0" w:line="240" w:lineRule="auto"/>
      </w:pPr>
      <w:r>
        <w:separator/>
      </w:r>
    </w:p>
  </w:endnote>
  <w:endnote w:type="continuationSeparator" w:id="0">
    <w:p w14:paraId="39DB88D6" w14:textId="77777777" w:rsidR="00317B7F" w:rsidRDefault="00317B7F" w:rsidP="00B8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14114"/>
      <w:docPartObj>
        <w:docPartGallery w:val="Page Numbers (Bottom of Page)"/>
        <w:docPartUnique/>
      </w:docPartObj>
    </w:sdtPr>
    <w:sdtEndPr>
      <w:rPr>
        <w:noProof/>
      </w:rPr>
    </w:sdtEndPr>
    <w:sdtContent>
      <w:p w14:paraId="1EFC82B7" w14:textId="77777777" w:rsidR="00B8228F" w:rsidRDefault="00B8228F">
        <w:pPr>
          <w:pStyle w:val="Footer"/>
          <w:jc w:val="right"/>
        </w:pPr>
        <w:r>
          <w:fldChar w:fldCharType="begin"/>
        </w:r>
        <w:r>
          <w:instrText xml:space="preserve"> PAGE   \* MERGEFORMAT </w:instrText>
        </w:r>
        <w:r>
          <w:fldChar w:fldCharType="separate"/>
        </w:r>
        <w:r w:rsidR="00D41D8F">
          <w:rPr>
            <w:noProof/>
          </w:rPr>
          <w:t>4</w:t>
        </w:r>
        <w:r>
          <w:rPr>
            <w:noProof/>
          </w:rPr>
          <w:fldChar w:fldCharType="end"/>
        </w:r>
      </w:p>
    </w:sdtContent>
  </w:sdt>
  <w:p w14:paraId="582F7155" w14:textId="77777777" w:rsidR="00B8228F" w:rsidRDefault="00B8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3CB4" w14:textId="77777777" w:rsidR="00317B7F" w:rsidRDefault="00317B7F" w:rsidP="00B8228F">
      <w:pPr>
        <w:spacing w:after="0" w:line="240" w:lineRule="auto"/>
      </w:pPr>
      <w:r>
        <w:separator/>
      </w:r>
    </w:p>
  </w:footnote>
  <w:footnote w:type="continuationSeparator" w:id="0">
    <w:p w14:paraId="0934E640" w14:textId="77777777" w:rsidR="00317B7F" w:rsidRDefault="00317B7F" w:rsidP="00B8228F">
      <w:pPr>
        <w:spacing w:after="0" w:line="240" w:lineRule="auto"/>
      </w:pPr>
      <w:r>
        <w:continuationSeparator/>
      </w:r>
    </w:p>
  </w:footnote>
  <w:footnote w:id="1">
    <w:p w14:paraId="5BC3E19C" w14:textId="77777777" w:rsidR="00773ABD" w:rsidRDefault="00773ABD" w:rsidP="00773ABD">
      <w:pPr>
        <w:pStyle w:val="FootnoteText"/>
      </w:pPr>
      <w:r>
        <w:rPr>
          <w:rStyle w:val="FootnoteReference"/>
        </w:rPr>
        <w:footnoteRef/>
      </w:r>
      <w:r>
        <w:t xml:space="preserve"> </w:t>
      </w:r>
      <w:hyperlink r:id="rId1" w:history="1">
        <w:r w:rsidRPr="00FC3BA9">
          <w:rPr>
            <w:rStyle w:val="Hyperlink"/>
          </w:rPr>
          <w:t>https://energysavingtrust.org.uk/wp-content/uploads/2022/07/Energy-Saving-Trust-HVO-policy-position-Final-.pdf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3437"/>
    <w:multiLevelType w:val="hybridMultilevel"/>
    <w:tmpl w:val="02946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067654"/>
    <w:multiLevelType w:val="hybridMultilevel"/>
    <w:tmpl w:val="74EA9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EC3B12"/>
    <w:multiLevelType w:val="hybridMultilevel"/>
    <w:tmpl w:val="D8222618"/>
    <w:lvl w:ilvl="0" w:tplc="0809000F">
      <w:start w:val="1"/>
      <w:numFmt w:val="decimal"/>
      <w:lvlText w:val="%1."/>
      <w:lvlJc w:val="left"/>
      <w:pPr>
        <w:ind w:left="72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10BDE"/>
    <w:multiLevelType w:val="hybridMultilevel"/>
    <w:tmpl w:val="D13C9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76"/>
    <w:rsid w:val="000A6418"/>
    <w:rsid w:val="00125FED"/>
    <w:rsid w:val="001A0247"/>
    <w:rsid w:val="0022656B"/>
    <w:rsid w:val="0022759C"/>
    <w:rsid w:val="00277A4B"/>
    <w:rsid w:val="002919B2"/>
    <w:rsid w:val="002D590E"/>
    <w:rsid w:val="002E19B2"/>
    <w:rsid w:val="00317B7F"/>
    <w:rsid w:val="00333744"/>
    <w:rsid w:val="003456AA"/>
    <w:rsid w:val="003537F5"/>
    <w:rsid w:val="00360413"/>
    <w:rsid w:val="00365FC2"/>
    <w:rsid w:val="00402F8B"/>
    <w:rsid w:val="00472997"/>
    <w:rsid w:val="0057643C"/>
    <w:rsid w:val="00577613"/>
    <w:rsid w:val="00584BA9"/>
    <w:rsid w:val="00624D9B"/>
    <w:rsid w:val="00680CBF"/>
    <w:rsid w:val="0069019B"/>
    <w:rsid w:val="006A6508"/>
    <w:rsid w:val="006E140D"/>
    <w:rsid w:val="0071767E"/>
    <w:rsid w:val="00764EB0"/>
    <w:rsid w:val="00773ABD"/>
    <w:rsid w:val="00792779"/>
    <w:rsid w:val="00794229"/>
    <w:rsid w:val="007D439E"/>
    <w:rsid w:val="007D5C45"/>
    <w:rsid w:val="007E3F7E"/>
    <w:rsid w:val="00847EF6"/>
    <w:rsid w:val="00856B36"/>
    <w:rsid w:val="0088495E"/>
    <w:rsid w:val="00897A2A"/>
    <w:rsid w:val="008B1449"/>
    <w:rsid w:val="008C0F33"/>
    <w:rsid w:val="008F2C42"/>
    <w:rsid w:val="00944078"/>
    <w:rsid w:val="009E70B0"/>
    <w:rsid w:val="00A207EF"/>
    <w:rsid w:val="00A233D7"/>
    <w:rsid w:val="00A34148"/>
    <w:rsid w:val="00A70AE5"/>
    <w:rsid w:val="00A857D8"/>
    <w:rsid w:val="00A91FF2"/>
    <w:rsid w:val="00AD76A9"/>
    <w:rsid w:val="00AE2476"/>
    <w:rsid w:val="00AE2BAC"/>
    <w:rsid w:val="00AE5FD3"/>
    <w:rsid w:val="00B8228F"/>
    <w:rsid w:val="00B92A58"/>
    <w:rsid w:val="00BB0365"/>
    <w:rsid w:val="00C11C87"/>
    <w:rsid w:val="00C33A1C"/>
    <w:rsid w:val="00CB34C5"/>
    <w:rsid w:val="00D2610A"/>
    <w:rsid w:val="00D41D8F"/>
    <w:rsid w:val="00D55327"/>
    <w:rsid w:val="00D638A0"/>
    <w:rsid w:val="00DE0330"/>
    <w:rsid w:val="00DE0A2D"/>
    <w:rsid w:val="00E15408"/>
    <w:rsid w:val="00E21CE4"/>
    <w:rsid w:val="00E22D2C"/>
    <w:rsid w:val="00E61DF1"/>
    <w:rsid w:val="00E705B6"/>
    <w:rsid w:val="00EB7815"/>
    <w:rsid w:val="00EF0028"/>
    <w:rsid w:val="00F005E4"/>
    <w:rsid w:val="00F03522"/>
    <w:rsid w:val="00F2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DD7"/>
  <w15:chartTrackingRefBased/>
  <w15:docId w15:val="{A8BBC253-550C-4262-B792-DF66C1E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A58"/>
    <w:rPr>
      <w:b/>
      <w:bCs/>
    </w:rPr>
  </w:style>
  <w:style w:type="paragraph" w:styleId="ListParagraph">
    <w:name w:val="List Paragraph"/>
    <w:basedOn w:val="Normal"/>
    <w:uiPriority w:val="34"/>
    <w:qFormat/>
    <w:rsid w:val="0071767E"/>
    <w:pPr>
      <w:ind w:left="720"/>
      <w:contextualSpacing/>
    </w:pPr>
  </w:style>
  <w:style w:type="character" w:styleId="CommentReference">
    <w:name w:val="annotation reference"/>
    <w:basedOn w:val="DefaultParagraphFont"/>
    <w:uiPriority w:val="99"/>
    <w:semiHidden/>
    <w:unhideWhenUsed/>
    <w:rsid w:val="00CB34C5"/>
    <w:rPr>
      <w:sz w:val="16"/>
      <w:szCs w:val="16"/>
    </w:rPr>
  </w:style>
  <w:style w:type="paragraph" w:styleId="CommentText">
    <w:name w:val="annotation text"/>
    <w:basedOn w:val="Normal"/>
    <w:link w:val="CommentTextChar"/>
    <w:uiPriority w:val="99"/>
    <w:semiHidden/>
    <w:unhideWhenUsed/>
    <w:rsid w:val="00CB34C5"/>
    <w:pPr>
      <w:spacing w:line="240" w:lineRule="auto"/>
    </w:pPr>
    <w:rPr>
      <w:sz w:val="20"/>
      <w:szCs w:val="20"/>
    </w:rPr>
  </w:style>
  <w:style w:type="character" w:customStyle="1" w:styleId="CommentTextChar">
    <w:name w:val="Comment Text Char"/>
    <w:basedOn w:val="DefaultParagraphFont"/>
    <w:link w:val="CommentText"/>
    <w:uiPriority w:val="99"/>
    <w:semiHidden/>
    <w:rsid w:val="00CB34C5"/>
    <w:rPr>
      <w:sz w:val="20"/>
      <w:szCs w:val="20"/>
    </w:rPr>
  </w:style>
  <w:style w:type="paragraph" w:styleId="CommentSubject">
    <w:name w:val="annotation subject"/>
    <w:basedOn w:val="CommentText"/>
    <w:next w:val="CommentText"/>
    <w:link w:val="CommentSubjectChar"/>
    <w:uiPriority w:val="99"/>
    <w:semiHidden/>
    <w:unhideWhenUsed/>
    <w:rsid w:val="00CB34C5"/>
    <w:rPr>
      <w:b/>
      <w:bCs/>
    </w:rPr>
  </w:style>
  <w:style w:type="character" w:customStyle="1" w:styleId="CommentSubjectChar">
    <w:name w:val="Comment Subject Char"/>
    <w:basedOn w:val="CommentTextChar"/>
    <w:link w:val="CommentSubject"/>
    <w:uiPriority w:val="99"/>
    <w:semiHidden/>
    <w:rsid w:val="00CB34C5"/>
    <w:rPr>
      <w:b/>
      <w:bCs/>
      <w:sz w:val="20"/>
      <w:szCs w:val="20"/>
    </w:rPr>
  </w:style>
  <w:style w:type="paragraph" w:styleId="BalloonText">
    <w:name w:val="Balloon Text"/>
    <w:basedOn w:val="Normal"/>
    <w:link w:val="BalloonTextChar"/>
    <w:uiPriority w:val="99"/>
    <w:semiHidden/>
    <w:unhideWhenUsed/>
    <w:rsid w:val="00CB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C5"/>
    <w:rPr>
      <w:rFonts w:ascii="Segoe UI" w:hAnsi="Segoe UI" w:cs="Segoe UI"/>
      <w:sz w:val="18"/>
      <w:szCs w:val="18"/>
    </w:rPr>
  </w:style>
  <w:style w:type="paragraph" w:styleId="Header">
    <w:name w:val="header"/>
    <w:basedOn w:val="Normal"/>
    <w:link w:val="HeaderChar"/>
    <w:uiPriority w:val="99"/>
    <w:unhideWhenUsed/>
    <w:rsid w:val="00B82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28F"/>
  </w:style>
  <w:style w:type="paragraph" w:styleId="Footer">
    <w:name w:val="footer"/>
    <w:basedOn w:val="Normal"/>
    <w:link w:val="FooterChar"/>
    <w:uiPriority w:val="99"/>
    <w:unhideWhenUsed/>
    <w:rsid w:val="00B8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28F"/>
  </w:style>
  <w:style w:type="character" w:styleId="Hyperlink">
    <w:name w:val="Hyperlink"/>
    <w:basedOn w:val="DefaultParagraphFont"/>
    <w:uiPriority w:val="99"/>
    <w:unhideWhenUsed/>
    <w:rsid w:val="00773ABD"/>
    <w:rPr>
      <w:color w:val="0000FF"/>
      <w:u w:val="single"/>
    </w:rPr>
  </w:style>
  <w:style w:type="paragraph" w:styleId="FootnoteText">
    <w:name w:val="footnote text"/>
    <w:basedOn w:val="Normal"/>
    <w:link w:val="FootnoteTextChar"/>
    <w:uiPriority w:val="99"/>
    <w:semiHidden/>
    <w:unhideWhenUsed/>
    <w:rsid w:val="00773ABD"/>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773ABD"/>
    <w:rPr>
      <w:kern w:val="0"/>
      <w:sz w:val="20"/>
      <w:szCs w:val="20"/>
      <w14:ligatures w14:val="none"/>
    </w:rPr>
  </w:style>
  <w:style w:type="character" w:styleId="FootnoteReference">
    <w:name w:val="footnote reference"/>
    <w:basedOn w:val="DefaultParagraphFont"/>
    <w:uiPriority w:val="99"/>
    <w:semiHidden/>
    <w:unhideWhenUsed/>
    <w:rsid w:val="00773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5618">
      <w:bodyDiv w:val="1"/>
      <w:marLeft w:val="0"/>
      <w:marRight w:val="0"/>
      <w:marTop w:val="0"/>
      <w:marBottom w:val="0"/>
      <w:divBdr>
        <w:top w:val="none" w:sz="0" w:space="0" w:color="auto"/>
        <w:left w:val="none" w:sz="0" w:space="0" w:color="auto"/>
        <w:bottom w:val="none" w:sz="0" w:space="0" w:color="auto"/>
        <w:right w:val="none" w:sz="0" w:space="0" w:color="auto"/>
      </w:divBdr>
    </w:div>
    <w:div w:id="426537261">
      <w:bodyDiv w:val="1"/>
      <w:marLeft w:val="0"/>
      <w:marRight w:val="0"/>
      <w:marTop w:val="0"/>
      <w:marBottom w:val="0"/>
      <w:divBdr>
        <w:top w:val="none" w:sz="0" w:space="0" w:color="auto"/>
        <w:left w:val="none" w:sz="0" w:space="0" w:color="auto"/>
        <w:bottom w:val="none" w:sz="0" w:space="0" w:color="auto"/>
        <w:right w:val="none" w:sz="0" w:space="0" w:color="auto"/>
      </w:divBdr>
    </w:div>
    <w:div w:id="14037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3972/FINAL%20DRAFT%20Net%20Zero%20Cabinet%20Paper%20December%20202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ergysavingtrust.org.uk/wp-content/uploads/2022/07/Energy-Saving-Trust-HVO-policy-position-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ergysavingtrust.org.uk/wp-content/uploads/2022/07/Energy-Saving-Trust-HVO-policy-posi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Pearce</dc:creator>
  <cp:keywords/>
  <dc:description/>
  <cp:lastModifiedBy>DONEY Richard</cp:lastModifiedBy>
  <cp:revision>2</cp:revision>
  <cp:lastPrinted>2023-02-16T07:06:00Z</cp:lastPrinted>
  <dcterms:created xsi:type="dcterms:W3CDTF">2023-03-01T14:17:00Z</dcterms:created>
  <dcterms:modified xsi:type="dcterms:W3CDTF">2023-03-01T14:17:00Z</dcterms:modified>
</cp:coreProperties>
</file>